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91.svg" ContentType="image/svg+xml"/>
  <Override PartName="/word/media/rId84.svg" ContentType="image/svg+xml"/>
  <Override PartName="/word/media/rId75.svg" ContentType="image/svg+xml"/>
  <Override PartName="/word/media/rId77.svg" ContentType="image/svg+xml"/>
  <Override PartName="/word/media/rId80.svg" ContentType="image/svg+xml"/>
  <Override PartName="/word/media/rId82.svg" ContentType="image/svg+xml"/>
  <Override PartName="/word/media/rId73.svg" ContentType="image/svg+xml"/>
  <Override PartName="/word/media/rId89.svg" ContentType="image/svg+xml"/>
  <Override PartName="/word/media/rId87.svg" ContentType="image/svg+xml"/>
  <Override PartName="/word/media/rId60.png" ContentType="image/png"/>
  <Override PartName="/word/media/rId61.png" ContentType="image/png"/>
  <Override PartName="/word/media/rId68.png" ContentType="image/png"/>
  <Override PartName="/word/media/rId44.png" ContentType="image/png"/>
  <Override PartName="/word/media/rId45.png" ContentType="image/png"/>
  <Override PartName="/word/media/rId34.png" ContentType="image/png"/>
  <Override PartName="/word/media/rId35.png" ContentType="image/png"/>
  <Override PartName="/word/media/rId59.png" ContentType="image/png"/>
  <Override PartName="/word/media/rId37.png" ContentType="image/png"/>
  <Override PartName="/word/media/rId38.png" ContentType="image/png"/>
  <Override PartName="/word/media/rId42.png" ContentType="image/png"/>
  <Override PartName="/word/media/rId43.png" ContentType="image/png"/>
  <Override PartName="/word/media/rId32.png" ContentType="image/png"/>
  <Override PartName="/word/media/rId33.png" ContentType="image/png"/>
  <Override PartName="/word/media/rId52.png" ContentType="image/png"/>
  <Override PartName="/word/media/rId53.png" ContentType="image/png"/>
  <Override PartName="/word/media/rId56.png" ContentType="image/png"/>
  <Override PartName="/word/media/rId54.png" ContentType="image/png"/>
  <Override PartName="/word/media/rId55.png" ContentType="image/png"/>
  <Override PartName="/word/media/rId47.png" ContentType="image/png"/>
  <Override PartName="/word/media/rId36.png" ContentType="image/png"/>
  <Override PartName="/word/media/rId40.png" ContentType="image/png"/>
  <Override PartName="/word/media/rId64.png" ContentType="image/png"/>
  <Override PartName="/word/media/rId65.png" ContentType="image/png"/>
  <Override PartName="/word/media/rId62.png" ContentType="image/png"/>
  <Override PartName="/word/media/rId63.png" ContentType="image/png"/>
  <Override PartName="/word/media/rId49.png" ContentType="image/png"/>
  <Override PartName="/word/media/rId50.png" ContentType="image/png"/>
  <Override PartName="/word/media/rId69.png" ContentType="image/png"/>
  <Override PartName="/word/media/rId66.png" ContentType="image/png"/>
  <Override PartName="/word/media/rId39.png" ContentType="image/png"/>
  <Override PartName="/word/media/rId46.png" ContentType="image/png"/>
  <Override PartName="/word/media/rId57.png" ContentType="image/png"/>
  <Override PartName="/word/media/rId51.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2021-09-24</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se asume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es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despejar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Para esta muestra se seleccionaron aleatoriamente 40 ciudades con más de 10.000 habitantes (92 comunas de 13 regiones), dentro de estas se escogieron aleatoriamente 1067 manzanas. Dentro de cada manzana se escogieron hogares aleatoriamente y dentro de cada hogar fueron elegidos también de manera aleatoria personas de 18 años o más. Por lo tanto, su unidad básica de observación son personas individuales. Asimismo, la población objetivo son hombres y mujeres de 18 a 75 años. Esta encuesta alcanza un 77% de representatividad de la población total del país y un 93% de la población urbana, con un error muestral del 2%. La muestra alcanzada en 2019 posee las respuestas de 3417 individuos, que incluye respuestas de participantes de la primera ola (2016) y de la muestra de refresco iniciada en 2018</w:t>
      </w:r>
      <w:r>
        <w:t xml:space="preserve"> </w:t>
      </w:r>
      <w:r>
        <w:t xml:space="preserve">(COES,</w:t>
      </w:r>
      <w:r>
        <w:t xml:space="preserve"> </w:t>
      </w:r>
      <w:hyperlink w:anchor="ref-coes_radiografia_2019">
        <w:r>
          <w:rPr>
            <w:rStyle w:val="Hipervnculo"/>
          </w:rPr>
          <w:t xml:space="preserve">2019</w:t>
        </w:r>
      </w:hyperlink>
      <w:r>
        <w:t xml:space="preserve">)</w:t>
      </w:r>
      <w:r>
        <w:t xml:space="preserve"> </w:t>
      </w:r>
      <w:r>
        <w:t xml:space="preserve">{&gt;&gt;actualizar a 2020&lt;&lt;}.</w:t>
      </w:r>
    </w:p>
    <w:p>
      <w:pPr>
        <w:pStyle w:val="Textoindependiente"/>
      </w:pPr>
      <w:r>
        <w:t xml:space="preserve">Para la selección de items de la encuesta se privilegiarán aquellos que se repiten en las distintas versiones (olas) de la encuesta, de manera de permitir la comparación en el tiempo. Dentro de estos items repetidos existen algunos que se repiten de manera intercalada (cada dos años), que se utilizarán en caso de requerir mayor información para las subdimensiones de cohesión social. Los análisis de selección de items para este capítulo se realizarán con los items de la ola 2016, y en el caso de items intercalados que aparezan desde el 2017 se utilizarán los correspondientes a ese año.</w:t>
      </w:r>
    </w:p>
    <w:p>
      <w:pPr>
        <w:pStyle w:val="Textoindependiente"/>
      </w:pPr>
      <w:r>
        <w:rPr>
          <w:i/>
        </w:rPr>
        <w:t xml:space="preserve">Sobre medición de dimensiones y subdimensiones</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vamos a entender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poder cuantificar y minimizar este error. Para esto no solo basta con un análisis de</w:t>
      </w:r>
      <w:r>
        <w:t xml:space="preserve"> </w:t>
      </w:r>
      <w:r>
        <w:rPr>
          <w:i/>
        </w:rPr>
        <w:t xml:space="preserve">validez aparente</w:t>
      </w:r>
      <w:r>
        <w:t xml:space="preserve">, referido a que el contenido de los items parezcan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poder identificarlo y estimarlo de una manera más robusta con técnicas específicas de análisis de constructos latentes.</w:t>
      </w:r>
    </w:p>
    <w:p>
      <w:pPr>
        <w:pStyle w:val="Textoindependiente"/>
      </w:pPr>
      <w:r>
        <w:t xml:space="preserve">La breve mención a aspectos de medición del párrafo anterior nos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subdimension: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otorga un número que va entre 0 y 1,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realizará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lazos</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comenzaremos con la subdimensión</w:t>
      </w:r>
      <w:r>
        <w:t xml:space="preserve"> </w:t>
      </w:r>
      <w:r>
        <w:t xml:space="preserve">“</w:t>
      </w:r>
      <w:r>
        <w:t xml:space="preserve">lazos</w:t>
      </w:r>
      <w:r>
        <w:t xml:space="preserve">”</w:t>
      </w:r>
      <w:r>
        <w:t xml:space="preserve"> </w:t>
      </w:r>
      <w:r>
        <w:t xml:space="preserve">identificando items de la encuesta que representen este concepto, y con la información disponible elaboraremos una propuesta para cubrir cada una de las subdimensiones.</w:t>
      </w:r>
    </w:p>
    <w:p>
      <w:pPr>
        <w:pStyle w:val="Textoindependiente"/>
      </w:pPr>
      <w:r>
        <w:t xml:space="preserve">Estas tres dimensiones provienen desde 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dimesión son lazos, confianza interpersonal y reconocimiento de la diversidad.</w:t>
      </w:r>
    </w:p>
    <w:p>
      <w:pPr>
        <w:pStyle w:val="Textoindependiente"/>
      </w:pPr>
      <w:r>
        <w:rPr>
          <w:b/>
        </w:rPr>
        <w:t xml:space="preserve">Lazos</w:t>
      </w:r>
    </w:p>
    <w:p>
      <w:pPr>
        <w:pStyle w:val="Textoindependiente"/>
      </w:pPr>
      <w:r>
        <w:t xml:space="preserve">Según</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2 y 4 de la encuesta. Además, se incluye un item de</w:t>
      </w:r>
      <w:r>
        <w:t xml:space="preserve"> </w:t>
      </w:r>
      <w:r>
        <w:t xml:space="preserve">“</w:t>
      </w:r>
      <w:r>
        <w:t xml:space="preserve">Cantidad de personas que se conocen con diferentes ocupaciones</w:t>
      </w:r>
      <w:r>
        <w:t xml:space="preserve">”</w:t>
      </w:r>
      <w:r>
        <w:t xml:space="preserve"> </w:t>
      </w:r>
      <w:r>
        <w:t xml:space="preserve">(CEO, vendedor ambulante, secretario/a, mecánico de autos, vendedor de tienda, abogado/a, aseador/a de oficina, médico, parvularia, chofer de taxi, camarero/a, contador/a, profesor/a universitario) para poder determinan la heterogeneidad de los lazos; este item está presente en las olas 1, 3 y 5.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 Estos análisis fueron realizados considerando solo a las personas que participaron en todas las olas mencionadas: el item</w:t>
      </w:r>
      <w:r>
        <w:t xml:space="preserve"> </w:t>
      </w:r>
      <w:r>
        <w:t xml:space="preserve">“</w:t>
      </w:r>
      <w:r>
        <w:t xml:space="preserve">Cantidad de amigos/as cercanos</w:t>
      </w:r>
      <w:r>
        <w:t xml:space="preserve">”</w:t>
      </w:r>
      <w:r>
        <w:t xml:space="preserve"> </w:t>
      </w:r>
      <w:r>
        <w:t xml:space="preserve">utilizado proviene de la ola 2 (n=1492), el item</w:t>
      </w:r>
      <w:r>
        <w:t xml:space="preserve"> </w:t>
      </w:r>
      <w:r>
        <w:t xml:space="preserve">“</w:t>
      </w:r>
      <w:r>
        <w:t xml:space="preserve">Tamaño de la red cercana</w:t>
      </w:r>
      <w:r>
        <w:t xml:space="preserve">”</w:t>
      </w:r>
      <w:r>
        <w:t xml:space="preserve"> </w:t>
      </w:r>
      <w:r>
        <w:t xml:space="preserve">utilizado proviene de la ola 2 (n=1492) y el item</w:t>
      </w:r>
      <w:r>
        <w:t xml:space="preserve"> </w:t>
      </w:r>
      <w:r>
        <w:t xml:space="preserve">“</w:t>
      </w:r>
      <w:r>
        <w:t xml:space="preserve">Cantidad de personas que se conocen con diferentes ocupaciones</w:t>
      </w:r>
      <w:r>
        <w:t xml:space="preserve">”</w:t>
      </w:r>
      <w:r>
        <w:t xml:space="preserve"> </w:t>
      </w:r>
      <w:r>
        <w:t xml:space="preserve">utilizado proviene de la ola 1 (n=1492)</w:t>
      </w:r>
    </w:p>
    <w:p>
      <w:pPr>
        <w:pStyle w:val="CaptionedFigure"/>
      </w:pPr>
      <w:r>
        <w:drawing>
          <wp:inline>
            <wp:extent cx="5600700" cy="2911510"/>
            <wp:effectExtent b="0" l="0" r="0" t="0"/>
            <wp:docPr descr="Figura 1.2: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Lazos.</w:t>
      </w:r>
    </w:p>
    <w:p>
      <w:pPr>
        <w:pStyle w:val="Textoindependiente"/>
      </w:pPr>
      <w:r>
        <w:t xml:space="preserve">En la matriz de correlaciones de la Figura</w:t>
      </w:r>
      <w:r>
        <w:t xml:space="preserve"> </w:t>
      </w:r>
      <w:r>
        <w:t xml:space="preserve">1.3</w:t>
      </w:r>
      <w:r>
        <w:t xml:space="preserve"> </w:t>
      </w:r>
      <w:r>
        <w:t xml:space="preserve">es posible observar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considerará un promedio solo de aquellos items que poseen una mayor correlación:</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Cantidad de personas que se conocen con diferentes ocupaciones</w:t>
      </w:r>
      <w:r>
        <w:t xml:space="preserve">”</w:t>
      </w:r>
      <w:r>
        <w:t xml:space="preserve"> </w:t>
      </w:r>
      <w:r>
        <w:t xml:space="preserve">(variedad de la red). Ambos indicadores también poseen mayor sentido en el marco de la cohesión social, ya que esta va más allá de la calidad y cantidad de lazos cercanos como familia y amigos, contemplando aquellos lazos sociales más extensos que van más allá de la comunidad cercana.</w:t>
      </w:r>
    </w:p>
    <w:p>
      <w:pPr>
        <w:pStyle w:val="CaptionedFigure"/>
      </w:pPr>
      <w:r>
        <w:drawing>
          <wp:inline>
            <wp:extent cx="5600700" cy="2800350"/>
            <wp:effectExtent b="0" l="0" r="0" t="0"/>
            <wp:docPr descr="Figura 1.3: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lo suficientemente cuidadoso con los demás. Al trabajar con ELSOC, los items que van en esta línea son</w:t>
      </w:r>
      <w:r>
        <w:t xml:space="preserve"> </w:t>
      </w:r>
      <w:r>
        <w:t xml:space="preserve">“</w:t>
      </w:r>
      <w:r>
        <w:t xml:space="preserve">Se puede confiar en la mayoría de las personas</w:t>
      </w:r>
      <w:r>
        <w:t xml:space="preserve">”</w:t>
      </w:r>
      <w:r>
        <w:t xml:space="preserve">,</w:t>
      </w:r>
      <w:r>
        <w:t xml:space="preserve"> </w:t>
      </w:r>
      <w:r>
        <w:t xml:space="preserve">“</w:t>
      </w:r>
      <w:r>
        <w:t xml:space="preserve">La mayoría de las personas tratan de ayudar a las demás</w:t>
      </w:r>
      <w:r>
        <w:t xml:space="preserve">”</w:t>
      </w:r>
      <w:r>
        <w:t xml:space="preserve"> </w:t>
      </w:r>
      <w:r>
        <w:t xml:space="preserve">y</w:t>
      </w:r>
      <w:r>
        <w:t xml:space="preserve"> </w:t>
      </w:r>
      <w:r>
        <w:t xml:space="preserve">“</w:t>
      </w:r>
      <w:r>
        <w:t xml:space="preserve">la mayoría de la gente trata de ser justa</w:t>
      </w:r>
      <w:r>
        <w:t xml:space="preserve">”</w:t>
      </w:r>
      <w:r>
        <w:t xml:space="preserve">, presentes en las cinco olas. Un análisis descriptivo de estos items (en la primera ola 2016) se presentan en la Figura</w:t>
      </w:r>
      <w:r>
        <w:t xml:space="preserve"> </w:t>
      </w:r>
      <w:r>
        <w:t xml:space="preserve">1.4</w:t>
      </w:r>
      <w:r>
        <w:t xml:space="preserve"> </w:t>
      </w:r>
      <w:r>
        <w:t xml:space="preserve">y un análisis bivariado en la Figura</w:t>
      </w:r>
      <w:r>
        <w:t xml:space="preserve"> </w:t>
      </w:r>
      <w:r>
        <w:t xml:space="preserve">1.5</w:t>
      </w:r>
      <w:r>
        <w:t xml:space="preserve">.</w:t>
      </w:r>
    </w:p>
    <w:p>
      <w:pPr>
        <w:pStyle w:val="CaptionedFigure"/>
      </w:pPr>
      <w:r>
        <w:drawing>
          <wp:inline>
            <wp:extent cx="5600700" cy="2911510"/>
            <wp:effectExtent b="0" l="0" r="0" t="0"/>
            <wp:docPr descr="Figura 1.4: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Confianza interpersonal.</w:t>
      </w:r>
    </w:p>
    <w:p>
      <w:pPr>
        <w:pStyle w:val="Textoindependiente"/>
      </w:pPr>
      <w:r>
        <w:t xml:space="preserve">En la matriz de correlaciones de la Figura</w:t>
      </w:r>
      <w:r>
        <w:t xml:space="preserve"> </w:t>
      </w:r>
      <w:r>
        <w:t xml:space="preserve">1.5</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5: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1.5: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esta propuesta regional de la CEPAL se deja como pendiente la construcción de un indicador sobre tolerancia a personas de distinta raza y etnia, así como de percepción de discriminación. En el caso de ELSOC encontramos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olas, adopción homoparental en olas 3 y 4 y el resto de items en las olas 2 y 4. Un análisis descriptivo de estos items se presentan en la Figura</w:t>
      </w:r>
      <w:r>
        <w:t xml:space="preserve"> </w:t>
      </w:r>
      <w:r>
        <w:t xml:space="preserve">1.6</w:t>
      </w:r>
      <w:r>
        <w:t xml:space="preserve"> </w:t>
      </w:r>
      <w:r>
        <w:t xml:space="preserve">y en la Figura</w:t>
      </w:r>
      <w:r>
        <w:t xml:space="preserve"> </w:t>
      </w:r>
      <w:r>
        <w:t xml:space="preserve">1.7</w:t>
      </w:r>
      <w:r>
        <w:t xml:space="preserve"> </w:t>
      </w:r>
      <w:r>
        <w:t xml:space="preserve">y un análisis bivariado en la Figura</w:t>
      </w:r>
      <w:r>
        <w:t xml:space="preserve"> </w:t>
      </w:r>
      <w:r>
        <w:t xml:space="preserve">1.8</w:t>
      </w:r>
      <w:r>
        <w:t xml:space="preserve">. Estos análisis fueron realizados considerando solo a las personas que participaron en las olas mencionadas: el item</w:t>
      </w:r>
      <w:r>
        <w:t xml:space="preserve"> </w:t>
      </w:r>
      <w:r>
        <w:t xml:space="preserve">“</w:t>
      </w:r>
      <w:r>
        <w:t xml:space="preserve">Chile pierde su identidad con la llegada de inmigrantes</w:t>
      </w:r>
      <w:r>
        <w:t xml:space="preserve">”</w:t>
      </w:r>
      <w:r>
        <w:t xml:space="preserve"> </w:t>
      </w:r>
      <w:r>
        <w:t xml:space="preserve">utilizado proviene de la ola 1 (n=1470), el item</w:t>
      </w:r>
      <w:r>
        <w:t xml:space="preserve"> </w:t>
      </w:r>
      <w:r>
        <w:t xml:space="preserve">“</w:t>
      </w:r>
      <w:r>
        <w:t xml:space="preserve">con la llegada de inmigrantes aumenta el desempleo</w:t>
      </w:r>
      <w:r>
        <w:t xml:space="preserve">”</w:t>
      </w:r>
      <w:r>
        <w:t xml:space="preserve"> </w:t>
      </w:r>
      <w:r>
        <w:t xml:space="preserve">proviene de la ola 1 (n=1469), el item</w:t>
      </w:r>
      <w:r>
        <w:t xml:space="preserve"> </w:t>
      </w:r>
      <w:r>
        <w:t xml:space="preserve">“</w:t>
      </w:r>
      <w:r>
        <w:t xml:space="preserve">grado de acuerdo con adopción homoparental</w:t>
      </w:r>
      <w:r>
        <w:t xml:space="preserve">”</w:t>
      </w:r>
      <w:r>
        <w:t xml:space="preserve"> </w:t>
      </w:r>
      <w:r>
        <w:t xml:space="preserve">proviene de la ola 3 (n=1470), el item</w:t>
      </w:r>
      <w:r>
        <w:t xml:space="preserve"> </w:t>
      </w:r>
      <w:r>
        <w:t xml:space="preserve">“</w:t>
      </w:r>
      <w:r>
        <w:t xml:space="preserve">grado de confianza con personas homosexuales</w:t>
      </w:r>
      <w:r>
        <w:t xml:space="preserve">”</w:t>
      </w:r>
      <w:r>
        <w:t xml:space="preserve"> </w:t>
      </w:r>
      <w:r>
        <w:t xml:space="preserve">proviene de la ola 1 (n=1432), el item</w:t>
      </w:r>
      <w:r>
        <w:t xml:space="preserve"> </w:t>
      </w:r>
      <w:r>
        <w:t xml:space="preserve">“</w:t>
      </w:r>
      <w:r>
        <w:t xml:space="preserve">grado de confianza con personas mapuche</w:t>
      </w:r>
      <w:r>
        <w:t xml:space="preserve">”</w:t>
      </w:r>
      <w:r>
        <w:t xml:space="preserve"> </w:t>
      </w:r>
      <w:r>
        <w:t xml:space="preserve">proviene de la ola 1 (n=1407) y el item</w:t>
      </w:r>
      <w:r>
        <w:t xml:space="preserve"> </w:t>
      </w:r>
      <w:r>
        <w:t xml:space="preserve">“</w:t>
      </w:r>
      <w:r>
        <w:t xml:space="preserve">grado de confianza con personas inmigrantes</w:t>
      </w:r>
      <w:r>
        <w:t xml:space="preserve">”</w:t>
      </w:r>
      <w:r>
        <w:t xml:space="preserve"> </w:t>
      </w:r>
      <w:r>
        <w:t xml:space="preserve">proviene de la ola 1 (n=1389).</w:t>
      </w:r>
    </w:p>
    <w:p>
      <w:pPr>
        <w:pStyle w:val="CaptionedFigure"/>
      </w:pPr>
      <w:r>
        <w:drawing>
          <wp:inline>
            <wp:extent cx="5600700" cy="2911510"/>
            <wp:effectExtent b="0" l="0" r="0" t="0"/>
            <wp:docPr descr="Figura 1.6: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1.6: Prejuicios hacia inmigrantes y adopción homoparental.</w:t>
      </w:r>
    </w:p>
    <w:p>
      <w:pPr>
        <w:pStyle w:val="CaptionedFigure"/>
      </w:pPr>
      <w:r>
        <w:drawing>
          <wp:inline>
            <wp:extent cx="5600700" cy="2911510"/>
            <wp:effectExtent b="0" l="0" r="0" t="0"/>
            <wp:docPr descr="Figura 1.7: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Grado de confianza grupos sociales.</w:t>
      </w:r>
    </w:p>
    <w:p>
      <w:pPr>
        <w:pStyle w:val="CaptionedFigure"/>
      </w:pPr>
      <w:r>
        <w:drawing>
          <wp:inline>
            <wp:extent cx="5600700" cy="2800350"/>
            <wp:effectExtent b="0" l="0" r="0" t="0"/>
            <wp:docPr descr="Figura 1.8: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1.8: Asociación de indicadores de la subdimensión Reconocimiento y respeto de la diversidad.</w:t>
      </w:r>
    </w:p>
    <w:p>
      <w:pPr>
        <w:pStyle w:val="Textoindependiente"/>
      </w:pPr>
      <w:r>
        <w:t xml:space="preserve">Para poder avanzar hacia la construcción de un índice basado en esta serie de items utilizaremos análisis factorial exploratorio, que nos entrega información de las dimensiones comunes que subyacen a un conjunto de items. La Tabla</w:t>
      </w:r>
      <w:r>
        <w:t xml:space="preserve"> </w:t>
      </w:r>
      <w:r>
        <w:t xml:space="preserve">1.1</w:t>
      </w:r>
      <w:r>
        <w:t xml:space="preserve"> </w:t>
      </w:r>
      <w:r>
        <w:t xml:space="preserve">nos muestra el resultado de la extracción de tres factores:</w:t>
      </w:r>
    </w:p>
    <w:p>
      <w:pPr>
        <w:pStyle w:val="TableCaption"/>
      </w:pPr>
      <w:r>
        <w:t xml:space="preserve">Tabla 1.1: Dimensiones de reconocimiento y respeto de la diversidad.</w:t>
      </w:r>
    </w:p>
    <w:tbl>
      <w:tblPr>
        <w:tblStyle w:val="Table"/>
        <w:tblW w:type="pct" w:w="0.0"/>
        <w:tblLook w:firstRow="0"/>
        <w:tblCaption w:val="Tabla 1.1: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9"/>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1.1</w:t>
      </w:r>
      <w:r>
        <w:t xml:space="preserve"> </w:t>
      </w:r>
      <w:r>
        <w:t xml:space="preserve">observamos en la primera columna los items que se están analizando, y las siguientes columnas que comienzan con ML se refieren a cada uno de los factores extraídos, en este caso tres. Los valores de la tabla en estas columnas nos hablan de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Respecto a este análisis en particular, en la segunda columna (ML1) se observa un factor que se relaciona con las preguntas sobre el grado de confianza de la Figura</w:t>
      </w:r>
      <w:r>
        <w:t xml:space="preserve"> </w:t>
      </w:r>
      <w:r>
        <w:t xml:space="preserve">1.7</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podemos decir que hay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que será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t xml:space="preserve">A continuación, en la Figura</w:t>
      </w:r>
      <w:r>
        <w:t xml:space="preserve"> </w:t>
      </w:r>
      <w:r>
        <w:t xml:space="preserve">1.9</w:t>
      </w:r>
      <w:r>
        <w:t xml:space="preserve"> </w:t>
      </w:r>
      <w:r>
        <w:t xml:space="preserve">se presenta una matriz de correlaciones de los tres indicadores utilizados en la dimensión Relaciones sociales de igualdad.</w:t>
      </w:r>
    </w:p>
    <w:p>
      <w:pPr>
        <w:pStyle w:val="CaptionedFigure"/>
      </w:pPr>
      <w:r>
        <w:drawing>
          <wp:inline>
            <wp:extent cx="5600700" cy="2800350"/>
            <wp:effectExtent b="0" l="0" r="0" t="0"/>
            <wp:docPr descr="Figura 1.9: Asociación de las subdimensiones de Relaciones sociales de igualdad" title="" id="1" name="Picture"/>
            <a:graphic>
              <a:graphicData uri="http://schemas.openxmlformats.org/drawingml/2006/picture">
                <pic:pic>
                  <pic:nvPicPr>
                    <pic:cNvPr descr="output/graphs/relaciones_cor.png" id="0" name="Picture"/>
                    <pic:cNvPicPr>
                      <a:picLocks noChangeArrowheads="1" noChangeAspect="1"/>
                    </pic:cNvPicPr>
                  </pic:nvPicPr>
                  <pic:blipFill>
                    <a:blip r:embed="rId4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1.9: Asociación de las subdimensiones de Relaciones sociales de igualdad</w:t>
      </w:r>
    </w:p>
    <w:p>
      <w:pPr>
        <w:pStyle w:val="Ttulo2"/>
      </w:pPr>
      <w:bookmarkStart w:id="41" w:name="sentido-de-pertenencia"/>
      <w:r>
        <w:t xml:space="preserve">1.2	Sentido de pertenencia</w:t>
      </w:r>
      <w:bookmarkEnd w:id="41"/>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utilizarán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w:t>
      </w:r>
      <w:r>
        <w:t xml:space="preserve">que están presentes en las cinco olas. Un análisis descriptivo de estos items se presentan en la Figura</w:t>
      </w:r>
      <w:r>
        <w:t xml:space="preserve"> </w:t>
      </w:r>
      <w:r>
        <w:t xml:space="preserve">1.10</w:t>
      </w:r>
      <w:r>
        <w:t xml:space="preserve">. Estos análisis fueron realizados considerando solo a las personas que participaron en las olas mencionadas: el item</w:t>
      </w:r>
      <w:r>
        <w:t xml:space="preserve"> </w:t>
      </w:r>
      <w:r>
        <w:t xml:space="preserve">“</w:t>
      </w:r>
      <w:r>
        <w:t xml:space="preserve">Orgullo de ser chileno</w:t>
      </w:r>
      <w:r>
        <w:t xml:space="preserve">”</w:t>
      </w:r>
      <w:r>
        <w:t xml:space="preserve"> </w:t>
      </w:r>
      <w:r>
        <w:t xml:space="preserve">utilizado proviene de la ola 1 (n=1486) y el item</w:t>
      </w:r>
      <w:r>
        <w:t xml:space="preserve"> </w:t>
      </w:r>
      <w:r>
        <w:t xml:space="preserve">“</w:t>
      </w:r>
      <w:r>
        <w:t xml:space="preserve">Identificación con Chile</w:t>
      </w:r>
      <w:r>
        <w:t xml:space="preserve">”</w:t>
      </w:r>
      <w:r>
        <w:t xml:space="preserve"> </w:t>
      </w:r>
      <w:r>
        <w:t xml:space="preserve">proviene de la ola 1 (n=1484).</w:t>
      </w:r>
    </w:p>
    <w:p>
      <w:pPr>
        <w:pStyle w:val="Textoindependiente"/>
      </w:pPr>
      <w:r>
        <w:t xml:space="preserve">La correlación entre estos items es positiva y alta (r=0.77). Por lo tanto, en esta subdimensión se utilizará como índice un promedio simple de ambos items.</w:t>
      </w:r>
    </w:p>
    <w:p>
      <w:pPr>
        <w:pStyle w:val="CaptionedFigure"/>
      </w:pPr>
      <w:r>
        <w:drawing>
          <wp:inline>
            <wp:extent cx="5600700" cy="2911510"/>
            <wp:effectExtent b="0" l="0" r="0" t="0"/>
            <wp:docPr descr="Figura 1.10: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Identificación y orgullo con Chile.</w:t>
      </w:r>
    </w:p>
    <w:p>
      <w:pPr>
        <w:pStyle w:val="Textoindependiente"/>
      </w:pPr>
      <w:r>
        <w:rPr>
          <w:b/>
        </w:rPr>
        <w:t xml:space="preserve">Percepción de justicia</w:t>
      </w:r>
    </w:p>
    <w:p>
      <w:pPr>
        <w:pStyle w:val="Textoindependiente"/>
      </w:pPr>
      <w:r>
        <w:t xml:space="preserve">La subdimensión de percepción de justicia refiere al examen que realizan los miembros de la sociedad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análisis descriptivo de estos items se presentan en la Figura</w:t>
      </w:r>
      <w:r>
        <w:t xml:space="preserve"> </w:t>
      </w:r>
      <w:r>
        <w:t xml:space="preserve">1.11</w:t>
      </w:r>
      <w:r>
        <w:t xml:space="preserve">. Estos análisis fueron realizados considerando solo a las personas que participaron en las olas mencionadas: el item</w:t>
      </w:r>
      <w:r>
        <w:t xml:space="preserve"> </w:t>
      </w:r>
      <w:r>
        <w:t xml:space="preserve">“</w:t>
      </w:r>
      <w:r>
        <w:t xml:space="preserve">En Chile las personas son recompensadas por su esfuerzo</w:t>
      </w:r>
      <w:r>
        <w:t xml:space="preserve">”</w:t>
      </w:r>
      <w:r>
        <w:t xml:space="preserve"> </w:t>
      </w:r>
      <w:r>
        <w:t xml:space="preserve">utilizado proviene de la ola 1 (n=1486) y el item</w:t>
      </w:r>
      <w:r>
        <w:t xml:space="preserve"> </w:t>
      </w:r>
      <w:r>
        <w:t xml:space="preserve">“</w:t>
      </w:r>
      <w:r>
        <w:t xml:space="preserve">En Chile las personas son recompensadas por su inteligencia</w:t>
      </w:r>
      <w:r>
        <w:t xml:space="preserve">”</w:t>
      </w:r>
      <w:r>
        <w:t xml:space="preserve"> </w:t>
      </w:r>
      <w:r>
        <w:t xml:space="preserve">proviene de la ola 1 (n=1483).</w:t>
      </w:r>
    </w:p>
    <w:p>
      <w:pPr>
        <w:pStyle w:val="Textoindependiente"/>
      </w:pPr>
      <w:r>
        <w:t xml:space="preserve">La correlación entre estos items es positiva y alta (r=0.7). Por lo tanto, se utilizará como índice un promedio simple de ambos items en esta subdimensión.</w:t>
      </w:r>
    </w:p>
    <w:p>
      <w:pPr>
        <w:pStyle w:val="CaptionedFigure"/>
      </w:pPr>
      <w:r>
        <w:drawing>
          <wp:inline>
            <wp:extent cx="5600700" cy="2911510"/>
            <wp:effectExtent b="0" l="0" r="0" t="0"/>
            <wp:docPr descr="Figura 1.11: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Descriptivos Percepción de recompensa por esfuerzo e inteligencia.</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utilizan grado de confianza en (a) las cortes, (b) el Congreso Nacional, (c) la Policía Nacional, (d) los partidos políticos, (e) el ejecutivo y (f) las elecciones. Al trabajar con ELSOC se utilizan los siguientes ocho items que están presentes en las cinco olas: grado de confianza en (a) el gobierno, (b) los partidos políticos; (c) carabineros; (d) los sindicatos; (e) el poder judicial; (f) las empresas privadas; (g) el congreso nacional; y (h) el presidente/a de la república. Un análisis descriptivo de estos items se presentan en la Figura</w:t>
      </w:r>
      <w:r>
        <w:t xml:space="preserve"> </w:t>
      </w:r>
      <w:r>
        <w:t xml:space="preserve">1.12</w:t>
      </w:r>
      <w:r>
        <w:t xml:space="preserve"> </w:t>
      </w:r>
      <w:r>
        <w:t xml:space="preserve">y un análisis bivariado en la Figura</w:t>
      </w:r>
      <w:r>
        <w:t xml:space="preserve"> </w:t>
      </w:r>
      <w:r>
        <w:t xml:space="preserve">1.13</w:t>
      </w:r>
      <w:r>
        <w:t xml:space="preserve">. Estos análisis fueron realizados considerando solo a las personas que participaron en las olas mencionadas: el item grado de confianza en (a) el gobierno proviene de la ola 1 (n=1484), (b) los partidos políticos proviene de la ola 1 (n=1481); (c) carabineros proviene de la ola 1 (n=1490); (d) los sindicatos proviene de la ola 1 (n=1407); (e) el poder judicial proviene de la ola 1 (n=1480); (f) las empresas privadas proviene de la ola 1 (n=1468); (g) el congreso nacional proviene de la ola 1 (n=1469); y (h) el presidente/a de la república proviene de la ola 1 (n=1483).</w:t>
      </w:r>
    </w:p>
    <w:p>
      <w:pPr>
        <w:pStyle w:val="CaptionedFigure"/>
      </w:pPr>
      <w:r>
        <w:drawing>
          <wp:inline>
            <wp:extent cx="5600700" cy="2911510"/>
            <wp:effectExtent b="0" l="0" r="0" t="0"/>
            <wp:docPr descr="Figura 1.12: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1.12: Confianza en instituciones.</w:t>
      </w:r>
    </w:p>
    <w:p>
      <w:pPr>
        <w:pStyle w:val="CaptionedFigure"/>
      </w:pPr>
      <w:r>
        <w:drawing>
          <wp:inline>
            <wp:extent cx="5600700" cy="2800350"/>
            <wp:effectExtent b="0" l="0" r="0" t="0"/>
            <wp:docPr descr="Figura 1.13: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1.13: Asociación indicadores Confianza institucional.</w:t>
      </w:r>
    </w:p>
    <w:p>
      <w:pPr>
        <w:pStyle w:val="Textoindependiente"/>
      </w:pPr>
      <w:r>
        <w:t xml:space="preserve">En esta oportunidad, nuevamente se utilizó un análisis factorial exploratorio con el objetivo de construir un índice a partir de la información de las dimensiones comunes que subyacen a este conjunto de ocho items. La Tabla</w:t>
      </w:r>
      <w:r>
        <w:t xml:space="preserve"> </w:t>
      </w:r>
      <w:r>
        <w:t xml:space="preserve">1.2</w:t>
      </w:r>
      <w:r>
        <w:t xml:space="preserve"> </w:t>
      </w:r>
      <w:r>
        <w:t xml:space="preserve">nos muestra el resultado de la extracción de tres factores:</w:t>
      </w:r>
    </w:p>
    <w:p>
      <w:pPr>
        <w:pStyle w:val="TableCaption"/>
      </w:pPr>
      <w:r>
        <w:t xml:space="preserve">Tabla 1.2: Dimensiones de confianza institucional.</w:t>
      </w:r>
    </w:p>
    <w:tbl>
      <w:tblPr>
        <w:tblStyle w:val="Table"/>
        <w:tblW w:type="pct" w:w="0.0"/>
        <w:tblLook w:firstRow="0"/>
        <w:tblCaption w:val="Tabla 1.2: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6"/>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instituciones más cercanas a la sociedad civil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índice de confianza institucional incluirá estos tres items.</w:t>
      </w:r>
    </w:p>
    <w:p>
      <w:pPr>
        <w:pStyle w:val="Textoindependiente"/>
      </w:pPr>
      <w:r>
        <w:t xml:space="preserve">A continuación, en la Figura</w:t>
      </w:r>
      <w:r>
        <w:t xml:space="preserve"> </w:t>
      </w:r>
      <w:r>
        <w:t xml:space="preserve">1.14</w:t>
      </w:r>
      <w:r>
        <w:t xml:space="preserve"> </w:t>
      </w:r>
      <w:r>
        <w:t xml:space="preserve">se presenta una matriz de correlaciones de los tres indicadores utilizados en la dimensión Sentido de pertenencia.</w:t>
      </w:r>
    </w:p>
    <w:p>
      <w:pPr>
        <w:pStyle w:val="CaptionedFigure"/>
      </w:pPr>
      <w:r>
        <w:drawing>
          <wp:inline>
            <wp:extent cx="5600700" cy="2800350"/>
            <wp:effectExtent b="0" l="0" r="0" t="0"/>
            <wp:docPr descr="Figura 1.14: Asociación de las subdimensiones de Sentido de pertenencia" title="" id="1" name="Picture"/>
            <a:graphic>
              <a:graphicData uri="http://schemas.openxmlformats.org/drawingml/2006/picture">
                <pic:pic>
                  <pic:nvPicPr>
                    <pic:cNvPr descr="output/graphs/pertenencia_cor.png" id="0" name="Picture"/>
                    <pic:cNvPicPr>
                      <a:picLocks noChangeArrowheads="1" noChangeAspect="1"/>
                    </pic:cNvPicPr>
                  </pic:nvPicPr>
                  <pic:blipFill>
                    <a:blip r:embed="rId4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las subdimensiones de Sentido de pertenencia</w:t>
      </w:r>
    </w:p>
    <w:p>
      <w:pPr>
        <w:pStyle w:val="Ttulo2"/>
      </w:pPr>
      <w:bookmarkStart w:id="48" w:name="orientación-hacia-el-bien-común"/>
      <w:r>
        <w:t xml:space="preserve">1.3	Orientación hacia el bien común</w:t>
      </w:r>
      <w:bookmarkEnd w:id="48"/>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de la sociedad.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utilizan el indicador</w:t>
      </w:r>
      <w:r>
        <w:t xml:space="preserve"> </w:t>
      </w:r>
      <w:r>
        <w:t xml:space="preserve">“</w:t>
      </w:r>
      <w:r>
        <w:t xml:space="preserve">Asistencia a reuniones de un grupo de mejoras para la comunidad</w:t>
      </w:r>
      <w:r>
        <w:t xml:space="preserve">”</w:t>
      </w:r>
      <w:r>
        <w:t xml:space="preserve">, que cuantifica la asistencia a reuniones para mejorar su comunidad. Al trabajar con ELSOC se utilizará este item y otros siete que abordan un comportamiento prosocial y que están presentes en las cinco olas. Un análisis descriptivo de estos items se presentan en la Figura</w:t>
      </w:r>
      <w:r>
        <w:t xml:space="preserve"> </w:t>
      </w:r>
      <w:r>
        <w:t xml:space="preserve">1.15</w:t>
      </w:r>
      <w:r>
        <w:t xml:space="preserve"> </w:t>
      </w:r>
      <w:r>
        <w:t xml:space="preserve">y un análisis bivariado en la Figura</w:t>
      </w:r>
      <w:r>
        <w:t xml:space="preserve"> </w:t>
      </w:r>
      <w:r>
        <w:t xml:space="preserve">1.16</w:t>
      </w:r>
      <w:r>
        <w:t xml:space="preserve">. Para estos análisis se consideraron solo a las personas que participaron en las cinco olas, pero con sus respuestas de la ola 1 (2016). La tasa de respuesta considera un n de alrededor de 1480 respuestas.</w:t>
      </w:r>
    </w:p>
    <w:p>
      <w:pPr>
        <w:pStyle w:val="CaptionedFigure"/>
      </w:pPr>
      <w:r>
        <w:drawing>
          <wp:inline>
            <wp:extent cx="5600700" cy="2911510"/>
            <wp:effectExtent b="0" l="0" r="0" t="0"/>
            <wp:docPr descr="Figura 1.15: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Acciones de solidaridad.</w:t>
      </w:r>
    </w:p>
    <w:p>
      <w:pPr>
        <w:pStyle w:val="CaptionedFigure"/>
      </w:pPr>
      <w:r>
        <w:drawing>
          <wp:inline>
            <wp:extent cx="5600700" cy="2800350"/>
            <wp:effectExtent b="0" l="0" r="0" t="0"/>
            <wp:docPr descr="Figura 1.16: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5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1.3</w:t>
      </w:r>
      <w:r>
        <w:t xml:space="preserve"> </w:t>
      </w:r>
      <w:r>
        <w:t xml:space="preserve">nos muestra el resultado de la extracción de tres factores:</w:t>
      </w:r>
    </w:p>
    <w:p>
      <w:pPr>
        <w:pStyle w:val="TableCaption"/>
      </w:pPr>
      <w:r>
        <w:t xml:space="preserve">Tabla 1.3: Dimensiones de solidaridad.</w:t>
      </w:r>
    </w:p>
    <w:tbl>
      <w:tblPr>
        <w:tblStyle w:val="Table"/>
        <w:tblW w:type="pct" w:w="0.0"/>
        <w:tblLook w:firstRow="0"/>
        <w:tblCaption w:val="Tabla 1.3: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51"/>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es posible observar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segundo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índice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participación</w:t>
      </w:r>
      <w:r>
        <w:t xml:space="preserve"> </w:t>
      </w:r>
      <w:r>
        <w:t xml:space="preserve">“</w:t>
      </w:r>
      <w:r>
        <w:t xml:space="preserve">promueve la participación ciudadana en los asuntos públcios, apoyando pryectos colectivas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1 y 3 y voto en elecciones 2013 y 2017 (ola 1 y 3). Un análisis descriptivo de estos items se presentan en la Figura</w:t>
      </w:r>
      <w:r>
        <w:t xml:space="preserve"> </w:t>
      </w:r>
      <w:r>
        <w:t xml:space="preserve">1.17</w:t>
      </w:r>
      <w:r>
        <w:t xml:space="preserve">, en la Figura</w:t>
      </w:r>
      <w:r>
        <w:t xml:space="preserve"> </w:t>
      </w:r>
      <w:r>
        <w:t xml:space="preserve">1.19</w:t>
      </w:r>
      <w:r>
        <w:t xml:space="preserve"> </w:t>
      </w:r>
      <w:r>
        <w:t xml:space="preserve">y en la Figura</w:t>
      </w:r>
      <w:r>
        <w:t xml:space="preserve"> </w:t>
      </w:r>
      <w:r>
        <w:t xml:space="preserve">1.21</w:t>
      </w:r>
      <w:r>
        <w:t xml:space="preserve">, mientras que un análisis bivariado en la Figura</w:t>
      </w:r>
      <w:r>
        <w:t xml:space="preserve"> </w:t>
      </w:r>
      <w:r>
        <w:t xml:space="preserve">1.18</w:t>
      </w:r>
      <w:r>
        <w:t xml:space="preserve"> </w:t>
      </w:r>
      <w:r>
        <w:t xml:space="preserve">y en la Figura</w:t>
      </w:r>
      <w:r>
        <w:t xml:space="preserve"> </w:t>
      </w:r>
      <w:r>
        <w:t xml:space="preserve">1.20</w:t>
      </w:r>
      <w:r>
        <w:t xml:space="preserve">. Para estos análisis se consideraron solo a las personas que participaron en las olas mencionadas, pero se utilizan sus respuestas de la ola 1 (2016). La tasa de respuesta considera un n de alrededor de 1490 respuestas.</w:t>
      </w:r>
    </w:p>
    <w:p>
      <w:pPr>
        <w:pStyle w:val="CaptionedFigure"/>
      </w:pPr>
      <w:r>
        <w:drawing>
          <wp:inline>
            <wp:extent cx="5600700" cy="2911510"/>
            <wp:effectExtent b="0" l="0" r="0" t="0"/>
            <wp:docPr descr="Figura 1.17: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actividades cívicas.</w:t>
      </w:r>
    </w:p>
    <w:p>
      <w:pPr>
        <w:pStyle w:val="CaptionedFigure"/>
      </w:pPr>
      <w:r>
        <w:drawing>
          <wp:inline>
            <wp:extent cx="5600700" cy="2800350"/>
            <wp:effectExtent b="0" l="0" r="0" t="0"/>
            <wp:docPr descr="Figura 1.18: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9: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organizaciones sociales.</w:t>
      </w:r>
    </w:p>
    <w:p>
      <w:pPr>
        <w:pStyle w:val="CaptionedFigure"/>
      </w:pPr>
      <w:r>
        <w:drawing>
          <wp:inline>
            <wp:extent cx="5600700" cy="2800350"/>
            <wp:effectExtent b="0" l="0" r="0" t="0"/>
            <wp:docPr descr="Figura 1.20: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1.20: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21: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1.4</w:t>
      </w:r>
      <w:r>
        <w:t xml:space="preserve"> </w:t>
      </w:r>
      <w:r>
        <w:t xml:space="preserve">nos muestra el resultado de la extracción de tres factores:</w:t>
      </w:r>
    </w:p>
    <w:p>
      <w:pPr>
        <w:pStyle w:val="TableCaption"/>
      </w:pPr>
      <w:r>
        <w:t xml:space="preserve">Tabla 1.4: Dimensiones de Participación cívica y en organizaciones.</w:t>
      </w:r>
    </w:p>
    <w:tbl>
      <w:tblPr>
        <w:tblStyle w:val="Table"/>
        <w:tblW w:type="pct" w:w="0.0"/>
        <w:tblLook w:firstRow="0"/>
        <w:tblCaption w:val="Tabla 1.4: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7"/>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1.4</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que representa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que posee un indicador de respeto por las instituciones inexistente en el ELSOC, no será considerada. Así, la correlación entre los dos indicadores propuestos para esta dimensión -solidaridad y participación cívica- poseen una correlación de 0.32.</w:t>
      </w:r>
    </w:p>
    <w:p>
      <w:pPr>
        <w:pStyle w:val="Ttulo2"/>
      </w:pPr>
      <w:bookmarkStart w:id="58" w:name="cohesión-territorial"/>
      <w:r>
        <w:t xml:space="preserve">1.4	Cohesión territorial</w:t>
      </w:r>
      <w:bookmarkEnd w:id="58"/>
    </w:p>
    <w:p>
      <w:pPr>
        <w:pStyle w:val="FirstParagraph"/>
      </w:pPr>
      <w:r>
        <w:t xml:space="preserve">De manera adicional, se incorpora una dimensión sobre calidad de vida en el vecindario presente en ELSOC. Todos estos items se encuentran presentes en las cuatro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en las cinco olas. Un análisis descriptivo de este item, que sería el único representante de esta subdimensión, se presenta en la Figura</w:t>
      </w:r>
      <w:r>
        <w:t xml:space="preserve"> </w:t>
      </w:r>
      <w:r>
        <w:t xml:space="preserve">1.22</w:t>
      </w:r>
      <w:r>
        <w:t xml:space="preserve">. Este análisis fue realizado solo con las personas que participaron en las cinco olas, pero se utilizan sus respuestas de la ola 1 (n=1486)</w:t>
      </w:r>
    </w:p>
    <w:p>
      <w:pPr>
        <w:pStyle w:val="CaptionedFigure"/>
      </w:pPr>
      <w:r>
        <w:drawing>
          <wp:inline>
            <wp:extent cx="5600700" cy="2911510"/>
            <wp:effectExtent b="0" l="0" r="0" t="0"/>
            <wp:docPr descr="Figura 1.22: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1.22: Confianza en vecinos.</w:t>
      </w:r>
    </w:p>
    <w:p>
      <w:pPr>
        <w:pStyle w:val="Textoindependiente"/>
      </w:pPr>
      <w:r>
        <w:rPr>
          <w:b/>
        </w:rPr>
        <w:t xml:space="preserve">Cohesión barrial</w:t>
      </w:r>
    </w:p>
    <w:p>
      <w:pPr>
        <w:pStyle w:val="Textoindependiente"/>
      </w:pPr>
      <w:r>
        <w:t xml:space="preserve">Otros items territoriales presentes en ELSOC están asociados con la subdimensión de Cohesión barrial. Estos items identifican si las personas se sienten identificadas con la gente del barrio, si se sienten integrados, si se sienten parte del barrio y si creen que es su barrio ideal y están presentes en las cinco olas. Un análisis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 Ambos análisis fueron realizados considerando solo a las personas que participaron en las olas mencionadas, pero utilizando sus respuestas de la ola 1, alcanzando un n aproximado de 1491.</w:t>
      </w:r>
    </w:p>
    <w:p>
      <w:pPr>
        <w:pStyle w:val="CaptionedFigure"/>
      </w:pPr>
      <w:r>
        <w:drawing>
          <wp:inline>
            <wp:extent cx="5600700" cy="2911510"/>
            <wp:effectExtent b="0" l="0" r="0" t="0"/>
            <wp:docPr descr="Figura 1.23: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Cohesión en el barrio.</w:t>
      </w:r>
    </w:p>
    <w:p>
      <w:pPr>
        <w:pStyle w:val="CaptionedFigure"/>
      </w:pPr>
      <w:r>
        <w:drawing>
          <wp:inline>
            <wp:extent cx="5600700" cy="2800350"/>
            <wp:effectExtent b="0" l="0" r="0" t="0"/>
            <wp:docPr descr="Figura 1.24: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cohesión barrial.</w:t>
      </w:r>
    </w:p>
    <w:p>
      <w:pPr>
        <w:pStyle w:val="Textoindependiente"/>
      </w:pPr>
      <w:r>
        <w:rPr>
          <w:b/>
        </w:rPr>
        <w:t xml:space="preserve">Sociabilidad barrial</w:t>
      </w:r>
    </w:p>
    <w:p>
      <w:pPr>
        <w:pStyle w:val="Textoindependiente"/>
      </w:pPr>
      <w:r>
        <w:t xml:space="preserve">Esta subdimensión de items territoriales aborda la percepción que se tiene sobre el barrio en relación con si las demás personas son sociables, si es fácil hacer amigos, si las personas son cordiales y si son colaboradoras y están presentes en las cinco olas. Un análisis descriptivo de estos cuatro items se presenta en la Figura</w:t>
      </w:r>
      <w:r>
        <w:t xml:space="preserve"> </w:t>
      </w:r>
      <w:r>
        <w:t xml:space="preserve">1.25</w:t>
      </w:r>
      <w:r>
        <w:t xml:space="preserve"> </w:t>
      </w:r>
      <w:r>
        <w:t xml:space="preserve">y un análisis bivariado en la Figura</w:t>
      </w:r>
      <w:r>
        <w:t xml:space="preserve"> </w:t>
      </w:r>
      <w:r>
        <w:t xml:space="preserve">1.26</w:t>
      </w:r>
      <w:r>
        <w:t xml:space="preserve">. Ambos análisis fueron realizados considerando solo a las personas que participaron en las olas mencionadas, pero utilizando sus respuestas de la ola 1, alcanzando un n aproximado de 1480.</w:t>
      </w:r>
    </w:p>
    <w:p>
      <w:pPr>
        <w:pStyle w:val="CaptionedFigure"/>
      </w:pPr>
      <w:r>
        <w:drawing>
          <wp:inline>
            <wp:extent cx="5600700" cy="2911510"/>
            <wp:effectExtent b="0" l="0" r="0" t="0"/>
            <wp:docPr descr="Figura 1.25: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Sociabilidad barrial.</w:t>
      </w:r>
    </w:p>
    <w:p>
      <w:pPr>
        <w:pStyle w:val="CaptionedFigure"/>
      </w:pPr>
      <w:r>
        <w:drawing>
          <wp:inline>
            <wp:extent cx="5600700" cy="2800350"/>
            <wp:effectExtent b="0" l="0" r="0" t="0"/>
            <wp:docPr descr="Figura 1.26: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presente en ELSOC y que está relacionada con items que miden la conectividad del barrio, la proximidad con el comercio, colegios, familiares y la principal actividad de trabajo, la limpieza del barrio, la cantidad de áreas verdes y la seguridad del barrio y están presentes en las cinco olas. Se incluye un análisis descriptivo de estos ocho items en la Figura</w:t>
      </w:r>
      <w:r>
        <w:t xml:space="preserve"> </w:t>
      </w:r>
      <w:r>
        <w:t xml:space="preserve">1.27</w:t>
      </w:r>
      <w:r>
        <w:t xml:space="preserve"> </w:t>
      </w:r>
      <w:r>
        <w:t xml:space="preserve">y un análisis bivariado en la Figura</w:t>
      </w:r>
      <w:r>
        <w:t xml:space="preserve"> </w:t>
      </w:r>
      <w:r>
        <w:t xml:space="preserve">1.28</w:t>
      </w:r>
      <w:r>
        <w:t xml:space="preserve">. Ambos análisis fueron realizados considerando solo a las personas que participaron en las olas mencionadas, pero utilizando sus respuestas de la ola 1, alcanzando un n aproximado de 1490.</w:t>
      </w:r>
    </w:p>
    <w:p>
      <w:pPr>
        <w:pStyle w:val="CaptionedFigure"/>
      </w:pPr>
      <w:r>
        <w:drawing>
          <wp:inline>
            <wp:extent cx="5600700" cy="2911510"/>
            <wp:effectExtent b="0" l="0" r="0" t="0"/>
            <wp:docPr descr="Figura 1.27: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1.27: Satisfacción con el barrio.</w:t>
      </w:r>
    </w:p>
    <w:p>
      <w:pPr>
        <w:pStyle w:val="CaptionedFigure"/>
      </w:pPr>
      <w:r>
        <w:drawing>
          <wp:inline>
            <wp:extent cx="5600700" cy="2800350"/>
            <wp:effectExtent b="0" l="0" r="0" t="0"/>
            <wp:docPr descr="Figura 1.28: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1.28: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1.5</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Por lo tanto, se propone utilizar un índice que incluya los cuatro items de cohesión barrial.</w:t>
      </w:r>
    </w:p>
    <w:p>
      <w:pPr>
        <w:pStyle w:val="TableCaption"/>
      </w:pPr>
      <w:r>
        <w:t xml:space="preserve">Tabla 1.5: Dimensiones de cohesión territorial.</w:t>
      </w:r>
    </w:p>
    <w:tbl>
      <w:tblPr>
        <w:tblStyle w:val="Table"/>
        <w:tblW w:type="pct" w:w="0.0"/>
        <w:tblLook w:firstRow="0"/>
        <w:tblCaption w:val="Tabla 1.5: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6"/>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7" w:name="X618db3d532252ec6728d11b4af93e1a911860b1"/>
      <w:r>
        <w:t xml:space="preserve">1.5	Resumen de la propuesta de medición de la cohesión social</w:t>
      </w:r>
      <w:bookmarkEnd w:id="67"/>
    </w:p>
    <w:p>
      <w:pPr>
        <w:pStyle w:val="FirstParagraph"/>
      </w:pPr>
      <w:r>
        <w:t xml:space="preserve">A partir de los criterios propuestos y de los análisis realizados, proponemos utilizar el siguiente conjunto de indicadores para cada una de las subdimensiones, los que se muestran en la Tabla</w:t>
      </w:r>
      <w:r>
        <w:t xml:space="preserve"> </w:t>
      </w:r>
      <w:r>
        <w:t xml:space="preserve">1.6</w:t>
      </w:r>
      <w:r>
        <w:t xml:space="preserve">.</w:t>
      </w:r>
    </w:p>
    <w:p>
      <w:pPr>
        <w:pStyle w:val="Compact"/>
      </w:pPr>
      <w:r>
        <w:t xml:space="preserve">Tabla 1.6: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Como una forma de evaluar la calidad de esta propuesta, en la Figura</w:t>
      </w:r>
      <w:r>
        <w:t xml:space="preserve"> </w:t>
      </w:r>
      <w:r>
        <w:t xml:space="preserve">1.29</w:t>
      </w:r>
      <w:r>
        <w:t xml:space="preserve"> </w:t>
      </w:r>
      <w:r>
        <w:t xml:space="preserve">se presenta la asociación entre las distintas subdimensiones de la cohesión social y, finalmente, en la Tabla</w:t>
      </w:r>
      <w:r>
        <w:t xml:space="preserve"> </w:t>
      </w:r>
      <w:r>
        <w:t xml:space="preserve">1.7</w:t>
      </w:r>
      <w:r>
        <w:t xml:space="preserve"> </w:t>
      </w:r>
      <w:r>
        <w:t xml:space="preserve">se presenta un análisis factorial exploratorio estimado entre las distintas subdimensiones, para evaluar si estas se ajustan con la propuesta de la CEPAL.</w:t>
      </w:r>
    </w:p>
    <w:p>
      <w:pPr>
        <w:pStyle w:val="CaptionedFigure"/>
      </w:pPr>
      <w:r>
        <w:drawing>
          <wp:inline>
            <wp:extent cx="5600700" cy="2800350"/>
            <wp:effectExtent b="0" l="0" r="0" t="0"/>
            <wp:docPr descr="Figura 1.29: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1.29: Asociación de las subdimensiones de cohesión social.</w:t>
      </w:r>
    </w:p>
    <w:p>
      <w:pPr>
        <w:pStyle w:val="TableCaption"/>
      </w:pPr>
      <w:r>
        <w:t xml:space="preserve">Tabla 1.7: Dimensiones de cohesión territorial.</w:t>
      </w:r>
    </w:p>
    <w:tbl>
      <w:tblPr>
        <w:tblStyle w:val="Table"/>
        <w:tblW w:type="pct" w:w="0.0"/>
        <w:tblLook w:firstRow="0"/>
        <w:tblCaption w:val="Tabla 1.7: Dimensiones de cohesión territorial."/>
      </w:tblPr>
      <w:tblGrid/>
      <w:tr>
        <w:tc>
          <w:p>
            <w:pPr>
              <w:pStyle w:val="Compact"/>
              <w:jc w:val="left"/>
            </w:pPr>
            <w:r>
              <w:drawing>
                <wp:inline>
                  <wp:extent cx="5600700" cy="2875026"/>
                  <wp:effectExtent b="0" l="0" r="0" t="0"/>
                  <wp:docPr descr="" title="" id="1" name="Picture"/>
                  <a:graphic>
                    <a:graphicData uri="http://schemas.openxmlformats.org/drawingml/2006/picture">
                      <pic:pic>
                        <pic:nvPicPr>
                          <pic:cNvPr descr="output/tables/cohesion_social_fa.png" id="0" name="Picture"/>
                          <pic:cNvPicPr>
                            <a:picLocks noChangeArrowheads="1" noChangeAspect="1"/>
                          </pic:cNvPicPr>
                        </pic:nvPicPr>
                        <pic:blipFill>
                          <a:blip r:embed="rId69"/>
                          <a:stretch>
                            <a:fillRect/>
                          </a:stretch>
                        </pic:blipFill>
                        <pic:spPr bwMode="auto">
                          <a:xfrm>
                            <a:off x="0" y="0"/>
                            <a:ext cx="5600700" cy="2875026"/>
                          </a:xfrm>
                          <a:prstGeom prst="rect">
                            <a:avLst/>
                          </a:prstGeom>
                          <a:noFill/>
                          <a:ln w="9525">
                            <a:noFill/>
                            <a:headEnd/>
                            <a:tailEnd/>
                          </a:ln>
                        </pic:spPr>
                      </pic:pic>
                    </a:graphicData>
                  </a:graphic>
                </wp:inline>
              </w:drawing>
            </w:r>
          </w:p>
        </w:tc>
      </w:tr>
    </w:tbl>
    <w:p>
      <w:pPr>
        <w:pStyle w:val="Ttulo1"/>
      </w:pPr>
      <w:bookmarkStart w:id="70" w:name="capítulo-ii"/>
      <w:r>
        <w:t xml:space="preserve">2	Capítulo II —</w:t>
      </w:r>
      <w:bookmarkEnd w:id="70"/>
    </w:p>
    <w:p>
      <w:pPr>
        <w:pStyle w:val="FirstParagraph"/>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r>
        <w:t xml:space="preserve"> </w:t>
      </w:r>
      <w:r>
        <w:t xml:space="preserve">Recordamos a continuación las dimensiones y subdimensiones analizadas:</w:t>
      </w:r>
    </w:p>
    <w:p>
      <w:pPr>
        <w:pStyle w:val="Textoindependiente"/>
      </w:pPr>
      <w:r>
        <w:t xml:space="preserve">• Dimensión relaciones sociales de igualdad</w:t>
      </w:r>
    </w:p>
    <w:p>
      <w:pPr>
        <w:pStyle w:val="Compact"/>
        <w:numPr>
          <w:numId w:val="1007"/>
          <w:ilvl w:val="0"/>
        </w:numPr>
      </w:pPr>
      <w:r>
        <w:t xml:space="preserve">lazos</w:t>
      </w:r>
    </w:p>
    <w:p>
      <w:pPr>
        <w:pStyle w:val="Compact"/>
        <w:numPr>
          <w:numId w:val="1007"/>
          <w:ilvl w:val="0"/>
        </w:numPr>
      </w:pPr>
      <w:r>
        <w:t xml:space="preserve">confianza interpersonal</w:t>
      </w:r>
    </w:p>
    <w:p>
      <w:pPr>
        <w:pStyle w:val="Compact"/>
        <w:numPr>
          <w:numId w:val="1007"/>
          <w:ilvl w:val="0"/>
        </w:numPr>
      </w:pPr>
      <w:r>
        <w:t xml:space="preserve">reconocimiento y respecto de la diversidad</w:t>
      </w:r>
    </w:p>
    <w:p>
      <w:pPr>
        <w:pStyle w:val="FirstParagraph"/>
      </w:pPr>
      <w:r>
        <w:t xml:space="preserve">• Dimensión sentido de pertenencia:</w:t>
      </w:r>
    </w:p>
    <w:p>
      <w:pPr>
        <w:pStyle w:val="Compact"/>
        <w:numPr>
          <w:numId w:val="1008"/>
          <w:ilvl w:val="0"/>
        </w:numPr>
      </w:pPr>
      <w:r>
        <w:t xml:space="preserve">identificación con el país</w:t>
      </w:r>
    </w:p>
    <w:p>
      <w:pPr>
        <w:pStyle w:val="Compact"/>
        <w:numPr>
          <w:numId w:val="1008"/>
          <w:ilvl w:val="0"/>
        </w:numPr>
      </w:pPr>
      <w:r>
        <w:t xml:space="preserve">percepción de justicia</w:t>
      </w:r>
    </w:p>
    <w:p>
      <w:pPr>
        <w:pStyle w:val="Compact"/>
        <w:numPr>
          <w:numId w:val="1008"/>
          <w:ilvl w:val="0"/>
        </w:numPr>
      </w:pPr>
      <w:r>
        <w:t xml:space="preserve">confianza institucional</w:t>
      </w:r>
    </w:p>
    <w:p>
      <w:pPr>
        <w:pStyle w:val="FirstParagraph"/>
      </w:pPr>
      <w:r>
        <w:t xml:space="preserve">• Dimensión orientación hacia el bien común:</w:t>
      </w:r>
    </w:p>
    <w:p>
      <w:pPr>
        <w:pStyle w:val="Compact"/>
        <w:numPr>
          <w:numId w:val="1009"/>
          <w:ilvl w:val="0"/>
        </w:numPr>
      </w:pPr>
      <w:r>
        <w:t xml:space="preserve">solidaridad</w:t>
      </w:r>
    </w:p>
    <w:p>
      <w:pPr>
        <w:pStyle w:val="Compact"/>
        <w:numPr>
          <w:numId w:val="1009"/>
          <w:ilvl w:val="0"/>
        </w:numPr>
      </w:pPr>
      <w:r>
        <w:t xml:space="preserve">participación cívica</w:t>
      </w:r>
    </w:p>
    <w:p>
      <w:pPr>
        <w:pStyle w:val="Ttulo2"/>
      </w:pPr>
      <w:bookmarkStart w:id="71" w:name="relaciones-sociales-de-igualdad-1"/>
      <w:r>
        <w:t xml:space="preserve">2.1	Relaciones sociales de igualdad</w:t>
      </w:r>
      <w:bookmarkEnd w:id="71"/>
    </w:p>
    <w:p>
      <w:pPr>
        <w:pStyle w:val="Ttulo3"/>
      </w:pPr>
      <w:bookmarkStart w:id="72" w:name="X364e6886a177952a046a7f2f9ba01302b3d5434"/>
      <w:r>
        <w:t xml:space="preserve">2.1.1	Lazos (cantidad de personas que se conocen con diferentes ocupaciones)</w:t>
      </w:r>
      <w:bookmarkEnd w:id="72"/>
    </w:p>
    <w:p>
      <w:pPr>
        <w:pStyle w:val="FirstParagraph"/>
      </w:pPr>
      <w:r>
        <w:t xml:space="preserve">Indicador (1): Cantidad de personas que se conocen con diferentes ocupaciones</w:t>
      </w:r>
    </w:p>
    <w:p>
      <w:pPr>
        <w:pStyle w:val="CaptionedFigure"/>
      </w:pPr>
      <w:r>
        <w:drawing>
          <wp:inline>
            <wp:extent cx="5600700" cy="2913075"/>
            <wp:effectExtent b="0" l="0" r="0" t="0"/>
            <wp:docPr descr="Figura 2.1: Cambios en la subdimensión Lazos." title="" id="1" name="Picture"/>
            <a:graphic>
              <a:graphicData uri="http://schemas.openxmlformats.org/drawingml/2006/picture">
                <pic:pic>
                  <pic:nvPicPr>
                    <pic:cNvPr descr="output/graphs/alluvial_lazos.svg" id="0" name="Picture"/>
                    <pic:cNvPicPr>
                      <a:picLocks noChangeArrowheads="1" noChangeAspect="1"/>
                    </pic:cNvPicPr>
                  </pic:nvPicPr>
                  <pic:blipFill>
                    <a:blip r:embed="rId73"/>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2.1: Cambios en la subdimensión Lazos.</w:t>
      </w:r>
    </w:p>
    <w:p>
      <w:pPr>
        <w:pStyle w:val="Textoindependiente"/>
      </w:pPr>
      <w:r>
        <w:t xml:space="preserve">En general, 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57%). Las categorías con menos contactos con diferentes ocupaciones (1 a 2 y 3 a 5) no pasan del 26% para los años 2016 y 2020, mientras la categoría con menos frecuencia corresponde a las personas que no declaran contactos en diferentes ocupaciones en ninguna de las tres olas (menos del 7%).</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Los cambios más importante,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bastante estable para el período completo, pero con importantes cambios de respuesta entre las mismas personas de una ola a otra.</w:t>
      </w:r>
    </w:p>
    <w:p>
      <w:pPr>
        <w:pStyle w:val="Textoindependiente"/>
      </w:pPr>
      <w:r>
        <w:t xml:space="preserve">**Nota: podría valer la pena pasar a 3 categorías en vez de 5.</w:t>
      </w:r>
    </w:p>
    <w:p>
      <w:pPr>
        <w:pStyle w:val="Ttulo3"/>
      </w:pPr>
      <w:bookmarkStart w:id="74" w:name="Xe4f7152337677e520838bedfb99fb8345f631d5"/>
      <w:r>
        <w:t xml:space="preserve">2.1.2	Confianza interpersonal (grado de confianza entre personas)</w:t>
      </w:r>
      <w:bookmarkEnd w:id="74"/>
    </w:p>
    <w:p>
      <w:pPr>
        <w:pStyle w:val="FirstParagraph"/>
      </w:pPr>
      <w:r>
        <w:t xml:space="preserve">Indicadores (2):</w:t>
      </w:r>
    </w:p>
    <w:p>
      <w:pPr>
        <w:pStyle w:val="Compact"/>
        <w:numPr>
          <w:numId w:val="1010"/>
          <w:ilvl w:val="0"/>
        </w:numPr>
      </w:pPr>
      <w:r>
        <w:t xml:space="preserve">Se puede confiar en la mayoría de las personas</w:t>
      </w:r>
    </w:p>
    <w:p>
      <w:pPr>
        <w:pStyle w:val="Compact"/>
        <w:numPr>
          <w:numId w:val="1010"/>
          <w:ilvl w:val="0"/>
        </w:numPr>
      </w:pPr>
      <w:r>
        <w:t xml:space="preserve">La mayoría de las personas tratan de ayudar a las demás</w:t>
      </w:r>
    </w:p>
    <w:p>
      <w:pPr>
        <w:pStyle w:val="CaptionedFigure"/>
      </w:pPr>
      <w:r>
        <w:drawing>
          <wp:inline>
            <wp:extent cx="5600700" cy="2913075"/>
            <wp:effectExtent b="0" l="0" r="0" t="0"/>
            <wp:docPr descr="(#fig:alluvial-conf.interpersonal)Cambios en la subdimensión confianza interpersonal." title="" id="1" name="Picture"/>
            <a:graphic>
              <a:graphicData uri="http://schemas.openxmlformats.org/drawingml/2006/picture">
                <pic:pic>
                  <pic:nvPicPr>
                    <pic:cNvPr descr="output/graphs/alluvial_conf.interpersonal.svg" id="0" name="Picture"/>
                    <pic:cNvPicPr>
                      <a:picLocks noChangeArrowheads="1" noChangeAspect="1"/>
                    </pic:cNvPicPr>
                  </pic:nvPicPr>
                  <pic:blipFill>
                    <a:blip r:embed="rId75"/>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(#fig:alluvial-conf.interpersonal)Cambios en la subdimensión confianza interpersonal.</w:t>
      </w:r>
    </w:p>
    <w:p>
      <w:pPr>
        <w:pStyle w:val="Textoindependiente"/>
      </w:pPr>
      <w:r>
        <w:t xml:space="preserve">En general, se observa una importante desconfianza hacia los demás en todas las olas, variando muy levemente entre un 68,3% (2016) a un 71, 4% (2020). Las personas confiadas son absolutamente minoritarias, manteniéndose en menos de un 5% en la primera y la última ola, con un leve aumento en las olas intermedias. En cuanto a la respuesta</w:t>
      </w:r>
      <w:r>
        <w:t xml:space="preserve"> </w:t>
      </w:r>
      <w:r>
        <w:t xml:space="preserve">“</w:t>
      </w:r>
      <w:r>
        <w:t xml:space="preserve">depende</w:t>
      </w:r>
      <w:r>
        <w:t xml:space="preserve">”</w:t>
      </w:r>
      <w:r>
        <w:t xml:space="preserve">, cabría evaluar si colapsarla con el sí, en el sentido que indicaría que en algunas ocasiones sí se podrían confiar. Esta respuesta varía poco en todo caso, manteniéndose alrededor de la cuarta parte de las respuesta para todas las olas, sin mayores variaciones.</w:t>
      </w:r>
    </w:p>
    <w:p>
      <w:pPr>
        <w:pStyle w:val="Textoindependiente"/>
      </w:pPr>
      <w:r>
        <w:t xml:space="preserve">En cuanto a las variaciones entre olas y entre respondentes, se observan algunos cambios de repuesta, aunque la mayor parte de quienes contestaron no mantiene su opinión a lo largo del período (alrededor de del 50% de los respondentes de la totalidad de la muestra). Los principales cambios son hacia la categoría</w:t>
      </w:r>
      <w:r>
        <w:t xml:space="preserve"> </w:t>
      </w:r>
      <w:r>
        <w:t xml:space="preserve">“</w:t>
      </w:r>
      <w:r>
        <w:t xml:space="preserve">depende</w:t>
      </w:r>
      <w:r>
        <w:t xml:space="preserve">”</w:t>
      </w:r>
      <w:r>
        <w:t xml:space="preserve"> </w:t>
      </w:r>
      <w:r>
        <w:t xml:space="preserve">con casi ninguna persona que cambie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w:t>
      </w:r>
    </w:p>
    <w:p>
      <w:pPr>
        <w:pStyle w:val="Textoindependiente"/>
      </w:pPr>
      <w:r>
        <w:t xml:space="preserve">**Nota: podría valer la pena pasar a 2 categorías en vez de 3 (sumando depende y sí).</w:t>
      </w:r>
    </w:p>
    <w:p>
      <w:pPr>
        <w:pStyle w:val="Ttulo3"/>
      </w:pPr>
      <w:bookmarkStart w:id="76" w:name="X66dcab928edf39f3a49bab4cc3dae527376d28e"/>
      <w:r>
        <w:t xml:space="preserve">2.1.3	Reconocimiento y respeto de la diversidad</w:t>
      </w:r>
      <w:bookmarkEnd w:id="76"/>
    </w:p>
    <w:p>
      <w:pPr>
        <w:pStyle w:val="FirstParagraph"/>
      </w:pPr>
      <w:r>
        <w:t xml:space="preserve">Indicadores (3):</w:t>
      </w:r>
    </w:p>
    <w:p>
      <w:pPr>
        <w:pStyle w:val="Compact"/>
        <w:numPr>
          <w:numId w:val="1011"/>
          <w:ilvl w:val="0"/>
        </w:numPr>
      </w:pPr>
      <w:r>
        <w:t xml:space="preserve">Grado de confianza con personas homosexuales</w:t>
      </w:r>
    </w:p>
    <w:p>
      <w:pPr>
        <w:pStyle w:val="Compact"/>
        <w:numPr>
          <w:numId w:val="1011"/>
          <w:ilvl w:val="0"/>
        </w:numPr>
      </w:pPr>
      <w:r>
        <w:t xml:space="preserve">Grado de confianza con personas mapuche</w:t>
      </w:r>
    </w:p>
    <w:p>
      <w:pPr>
        <w:pStyle w:val="Compact"/>
        <w:numPr>
          <w:numId w:val="1011"/>
          <w:ilvl w:val="0"/>
        </w:numPr>
      </w:pPr>
      <w:r>
        <w:t xml:space="preserve">Grado de confianza con personas inmigrantes</w:t>
      </w:r>
    </w:p>
    <w:p>
      <w:pPr>
        <w:pStyle w:val="CaptionedFigure"/>
      </w:pPr>
      <w:r>
        <w:drawing>
          <wp:inline>
            <wp:extent cx="5600700" cy="2913075"/>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svg" id="0" name="Picture"/>
                    <pic:cNvPicPr>
                      <a:picLocks noChangeArrowheads="1" noChangeAspect="1"/>
                    </pic:cNvPicPr>
                  </pic:nvPicPr>
                  <pic:blipFill>
                    <a:blip r:embed="rId77"/>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 no se incluye la del 2020, por lo que es poca interpretable en términos longitudinales. De todas formas se realiza el ejercicio de análisis.</w:t>
      </w:r>
    </w:p>
    <w:p>
      <w:pPr>
        <w:pStyle w:val="Textoindependiente"/>
      </w:pPr>
      <w:r>
        <w:t xml:space="preserve">En general, 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35% de las respuestas.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38%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Las personas que expresan confianza y respecto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extoindependiente"/>
      </w:pPr>
      <w:r>
        <w:t xml:space="preserve">**Nota: podría valer la pena pasar a 3 categorías en vez de 5.</w:t>
      </w:r>
    </w:p>
    <w:p>
      <w:pPr>
        <w:pStyle w:val="Ttulo2"/>
      </w:pPr>
      <w:bookmarkStart w:id="78" w:name="sentido-de-pertenencia-1"/>
      <w:r>
        <w:t xml:space="preserve">2.2	Sentido de pertenencia</w:t>
      </w:r>
      <w:bookmarkEnd w:id="78"/>
    </w:p>
    <w:p>
      <w:pPr>
        <w:pStyle w:val="Ttulo3"/>
      </w:pPr>
      <w:bookmarkStart w:id="79" w:name="identificación-con-el-país"/>
      <w:r>
        <w:t xml:space="preserve">2.2.1	Identificación con el país</w:t>
      </w:r>
      <w:bookmarkEnd w:id="79"/>
    </w:p>
    <w:p>
      <w:pPr>
        <w:pStyle w:val="FirstParagraph"/>
      </w:pPr>
      <w:r>
        <w:t xml:space="preserve">Indicadores (2):</w:t>
      </w:r>
      <w:r>
        <w:t xml:space="preserve"> </w:t>
      </w:r>
      <w:r>
        <w:t xml:space="preserve">- Me siento orgulloso de ser chileno</w:t>
      </w:r>
      <w:r>
        <w:t xml:space="preserve"> </w:t>
      </w:r>
      <w:r>
        <w:t xml:space="preserve">- Me identifico con Chile</w:t>
      </w:r>
    </w:p>
    <w:p>
      <w:pPr>
        <w:pStyle w:val="CaptionedFigure"/>
      </w:pPr>
      <w:r>
        <w:drawing>
          <wp:inline>
            <wp:extent cx="5600700" cy="2913075"/>
            <wp:effectExtent b="0" l="0" r="0" t="0"/>
            <wp:docPr descr="Figura 2.3: Cambios en la subdimensión identificación con el pais." title="" id="1" name="Picture"/>
            <a:graphic>
              <a:graphicData uri="http://schemas.openxmlformats.org/drawingml/2006/picture">
                <pic:pic>
                  <pic:nvPicPr>
                    <pic:cNvPr descr="output/graphs/alluvial_identificacion.svg" id="0" name="Picture"/>
                    <pic:cNvPicPr>
                      <a:picLocks noChangeArrowheads="1" noChangeAspect="1"/>
                    </pic:cNvPicPr>
                  </pic:nvPicPr>
                  <pic:blipFill>
                    <a:blip r:embed="rId80"/>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2.3: Cambios en la subdimensión identificación con el pais.</w:t>
      </w:r>
    </w:p>
    <w:p>
      <w:pPr>
        <w:pStyle w:val="Textoindependiente"/>
      </w:pPr>
      <w:r>
        <w:t xml:space="preserve">En general, en cuanto a la identificación con Chile o el orgullo de ser chileno,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7%).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w:t>
      </w:r>
    </w:p>
    <w:p>
      <w:pPr>
        <w:pStyle w:val="Textoindependiente"/>
      </w:pPr>
      <w:r>
        <w:t xml:space="preserve">En cuanto a las variaciones entre olas y entre respondentes, se da sobre todo entre las categorías de mayor identificación con Chile, en proporciones que varían del tercio a la mitad de los respondentes.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w:t>
      </w:r>
    </w:p>
    <w:p>
      <w:pPr>
        <w:pStyle w:val="Textoindependiente"/>
      </w:pPr>
      <w:r>
        <w:t xml:space="preserve">El estallido del 2019 no alteró sustancialmente la percepción para el conjunto de la muestra, lo que era esperable para la identificación con el país.</w:t>
      </w:r>
    </w:p>
    <w:p>
      <w:pPr>
        <w:pStyle w:val="Textoindependiente"/>
      </w:pPr>
      <w:r>
        <w:t xml:space="preserve">**Nota: podría valer la pena pasar a 3 categorías en vez de 5.</w:t>
      </w:r>
    </w:p>
    <w:p>
      <w:pPr>
        <w:pStyle w:val="Ttulo3"/>
      </w:pPr>
      <w:bookmarkStart w:id="81" w:name="percepción-de-justicia"/>
      <w:r>
        <w:t xml:space="preserve">2.2.2	Percepción de justicia</w:t>
      </w:r>
      <w:bookmarkEnd w:id="81"/>
    </w:p>
    <w:p>
      <w:pPr>
        <w:pStyle w:val="FirstParagraph"/>
      </w:pPr>
      <w:r>
        <w:t xml:space="preserve">Indicadores (2):</w:t>
      </w:r>
      <w:r>
        <w:t xml:space="preserve"> </w:t>
      </w:r>
      <w:r>
        <w:t xml:space="preserve">- En Chile las personas son recompensadas por sus esfuerzos</w:t>
      </w:r>
      <w:r>
        <w:t xml:space="preserve"> </w:t>
      </w:r>
      <w:r>
        <w:t xml:space="preserve">- En Chile las personas son recompensadas por su inteligencia</w:t>
      </w:r>
    </w:p>
    <w:p>
      <w:pPr>
        <w:pStyle w:val="CaptionedFigure"/>
      </w:pPr>
      <w:r>
        <w:drawing>
          <wp:inline>
            <wp:extent cx="5600700" cy="2913075"/>
            <wp:effectExtent b="0" l="0" r="0" t="0"/>
            <wp:docPr descr="Figura 2.4: Cambios en la subdimensión percepcion de justicia." title="" id="1" name="Picture"/>
            <a:graphic>
              <a:graphicData uri="http://schemas.openxmlformats.org/drawingml/2006/picture">
                <pic:pic>
                  <pic:nvPicPr>
                    <pic:cNvPr descr="output/graphs/alluvial_justicia.svg" id="0" name="Picture"/>
                    <pic:cNvPicPr>
                      <a:picLocks noChangeArrowheads="1" noChangeAspect="1"/>
                    </pic:cNvPicPr>
                  </pic:nvPicPr>
                  <pic:blipFill>
                    <a:blip r:embed="rId82"/>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2.4: Cambios en la subdimensión percepcion de justicia.</w:t>
      </w:r>
    </w:p>
    <w:p>
      <w:pPr>
        <w:pStyle w:val="Textoindependiente"/>
      </w:pPr>
      <w:r>
        <w:t xml:space="preserve">En general, respecto de si la inteligencia y el esfuerzo son recompensados en Chile, las categorías extremas (</w:t>
      </w:r>
      <w:r>
        <w:t xml:space="preserve">“</w:t>
      </w:r>
      <w:r>
        <w:t xml:space="preserve">totalmente de acuerdo</w:t>
      </w:r>
      <w:r>
        <w:t xml:space="preserve">”</w:t>
      </w:r>
      <w:r>
        <w:t xml:space="preserve"> </w:t>
      </w:r>
      <w:r>
        <w:t xml:space="preserve">y</w:t>
      </w:r>
      <w:r>
        <w:t xml:space="preserve"> </w:t>
      </w:r>
      <w:r>
        <w:t xml:space="preserve">“</w:t>
      </w:r>
      <w:r>
        <w:t xml:space="preserve">totalmente en desacuerdo</w:t>
      </w:r>
      <w:r>
        <w:t xml:space="preserve">”</w:t>
      </w:r>
      <w:r>
        <w:t xml:space="preserve">) recogen muy pocas preferencias, con muy pocas variaciones entre olas, sumando menos del 10% en total. Las demás categorías son bastante parecidas en tamaño, con variaciones solo de algunos puntos. La más abultada es</w:t>
      </w:r>
      <w:r>
        <w:t xml:space="preserve"> </w:t>
      </w:r>
      <w:r>
        <w:t xml:space="preserve">“</w:t>
      </w:r>
      <w:r>
        <w:t xml:space="preserve">en desacuerdo</w:t>
      </w:r>
      <w:r>
        <w:t xml:space="preserve">”</w:t>
      </w:r>
      <w:r>
        <w:t xml:space="preserve">, con una frecuencia promedio del 40%, seguida por “ni de acuerdo ni en desacuerdo (alrededor del 28%) y finalmente viene la opción “de acuerdo con alrededor del 22% de las preferencias. Esto indica que en general los respondentes consideran más bien que no se recompensa la inteligencia ni el esfuerzo en Chile.</w:t>
      </w:r>
    </w:p>
    <w:p>
      <w:pPr>
        <w:pStyle w:val="Textoindependiente"/>
      </w:pPr>
      <w:r>
        <w:t xml:space="preserve">En cuanto a las variaciones entre olas y entre respondentes, la mitad de los respondentes mantiene su opción entre olas y los cambios más importantes son en general hacia una categoría contigua.</w:t>
      </w:r>
    </w:p>
    <w:p>
      <w:pPr>
        <w:pStyle w:val="Textoindependiente"/>
      </w:pPr>
      <w:r>
        <w:t xml:space="preserve">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w:t>
      </w:r>
    </w:p>
    <w:p>
      <w:pPr>
        <w:pStyle w:val="Textoindependiente"/>
      </w:pPr>
      <w:r>
        <w:t xml:space="preserve">**Nota: podría valer la pena pasar a 3 categorías en vez de 5.</w:t>
      </w:r>
    </w:p>
    <w:p>
      <w:pPr>
        <w:pStyle w:val="Ttulo3"/>
      </w:pPr>
      <w:bookmarkStart w:id="83" w:name="confianza-institucional"/>
      <w:r>
        <w:t xml:space="preserve">2.2.3	Confianza institucional</w:t>
      </w:r>
      <w:bookmarkEnd w:id="83"/>
    </w:p>
    <w:p>
      <w:pPr>
        <w:pStyle w:val="FirstParagraph"/>
      </w:pPr>
      <w:r>
        <w:t xml:space="preserve">Indicadores (3):</w:t>
      </w:r>
      <w:r>
        <w:t xml:space="preserve"> </w:t>
      </w:r>
      <w:r>
        <w:t xml:space="preserve">- Confianza en el gobierno</w:t>
      </w:r>
      <w:r>
        <w:t xml:space="preserve"> </w:t>
      </w:r>
      <w:r>
        <w:t xml:space="preserve">- Confianza en el presidente/a de la republica</w:t>
      </w:r>
      <w:r>
        <w:t xml:space="preserve"> </w:t>
      </w:r>
      <w:r>
        <w:t xml:space="preserve">- Confianza en los partidos políticos</w:t>
      </w:r>
    </w:p>
    <w:p>
      <w:pPr>
        <w:pStyle w:val="CaptionedFigure"/>
      </w:pPr>
      <w:r>
        <w:drawing>
          <wp:inline>
            <wp:extent cx="5600700" cy="2913075"/>
            <wp:effectExtent b="0" l="0" r="0" t="0"/>
            <wp:docPr descr="(#fig:alluvial-conf.institucional)Cambios en la subdimensión confianza institucional." title="" id="1" name="Picture"/>
            <a:graphic>
              <a:graphicData uri="http://schemas.openxmlformats.org/drawingml/2006/picture">
                <pic:pic>
                  <pic:nvPicPr>
                    <pic:cNvPr descr="output/graphs/alluvial_conf.institucional.svg" id="0" name="Picture"/>
                    <pic:cNvPicPr>
                      <a:picLocks noChangeArrowheads="1" noChangeAspect="1"/>
                    </pic:cNvPicPr>
                  </pic:nvPicPr>
                  <pic:blipFill>
                    <a:blip r:embed="rId84"/>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(#fig:alluvial-conf.institucional)Cambios en la subdimensión confianza institucional.</w:t>
      </w:r>
    </w:p>
    <w:p>
      <w:pPr>
        <w:pStyle w:val="Textoindependiente"/>
      </w:pPr>
      <w:r>
        <w:t xml:space="preserve">En general, al igual que para el ítem de confianza entre personas, el de confianza institucional es bajo en Chile entre los respondentes, quienes mayoritariamente confían</w:t>
      </w:r>
      <w:r>
        <w:t xml:space="preserve"> </w:t>
      </w:r>
      <w:r>
        <w:t xml:space="preserve">“</w:t>
      </w:r>
      <w:r>
        <w:t xml:space="preserve">nada</w:t>
      </w:r>
      <w:r>
        <w:t xml:space="preserve">”</w:t>
      </w:r>
      <w:r>
        <w:t xml:space="preserve"> </w:t>
      </w:r>
      <w:r>
        <w:t xml:space="preserve">y</w:t>
      </w:r>
      <w:r>
        <w:t xml:space="preserve"> </w:t>
      </w:r>
      <w:r>
        <w:t xml:space="preserve">“</w:t>
      </w:r>
      <w:r>
        <w:t xml:space="preserve">poco</w:t>
      </w:r>
      <w:r>
        <w:t xml:space="preserve">”</w:t>
      </w:r>
      <w:r>
        <w:t xml:space="preserve"> </w:t>
      </w:r>
      <w:r>
        <w:t xml:space="preserve">en las instituciones del país, en este caso el gobierno, el presidente o los partidos políticos.</w:t>
      </w:r>
      <w:r>
        <w:t xml:space="preserve"> </w:t>
      </w:r>
      <w:r>
        <w:t xml:space="preserve">“</w:t>
      </w:r>
      <w:r>
        <w:t xml:space="preserve">Nada</w:t>
      </w:r>
      <w:r>
        <w:t xml:space="preserve">”</w:t>
      </w:r>
      <w:r>
        <w:t xml:space="preserve"> </w:t>
      </w:r>
      <w:r>
        <w:t xml:space="preserve">de confianza es la categoría que recoge más preferencias, con un aumento notorio en el 2019 (62,2%), antes de bajar nuevamente en 2020 (42,5%, muy cercano a la frecuencia de 2016). Podría hipotetizarse que el estallido alivió la sensación de desconfianza total o fuerte en estas tres instituciones. La opción</w:t>
      </w:r>
      <w:r>
        <w:t xml:space="preserve"> </w:t>
      </w:r>
      <w:r>
        <w:t xml:space="preserve">“</w:t>
      </w:r>
      <w:r>
        <w:t xml:space="preserve">bastante</w:t>
      </w:r>
      <w:r>
        <w:t xml:space="preserve">”</w:t>
      </w:r>
      <w:r>
        <w:t xml:space="preserve"> </w:t>
      </w:r>
      <w:r>
        <w:t xml:space="preserve">varía mucho (entre el 6,6% correspondiente al 2019 y el 23,5% para el año anterior, 2018, mientras se mantiene en torno al 15% para las otras olas). Finalmente, la categoría</w:t>
      </w:r>
      <w:r>
        <w:t xml:space="preserve"> </w:t>
      </w:r>
      <w:r>
        <w:t xml:space="preserve">“</w:t>
      </w:r>
      <w:r>
        <w:t xml:space="preserve">mucha</w:t>
      </w:r>
      <w:r>
        <w:t xml:space="preserve">”</w:t>
      </w:r>
      <w:r>
        <w:t xml:space="preserve"> </w:t>
      </w:r>
      <w:r>
        <w:t xml:space="preserve">confianza se mantiene muy baja en todas las olas.</w:t>
      </w:r>
    </w:p>
    <w:p>
      <w:pPr>
        <w:pStyle w:val="Textoindependiente"/>
      </w:pPr>
      <w:r>
        <w:t xml:space="preserve">En cuanto a las variaciones entre olas y entre respondentes, las personas en general mantienen su preferencia de un año a otro, salvo entre el 2019 y el 2020, cuando observamos un flujo importante desde</w:t>
      </w:r>
      <w:r>
        <w:t xml:space="preserve"> </w:t>
      </w:r>
      <w:r>
        <w:t xml:space="preserve">“</w:t>
      </w:r>
      <w:r>
        <w:t xml:space="preserve">nada de confianza</w:t>
      </w:r>
      <w:r>
        <w:t xml:space="preserve">”</w:t>
      </w:r>
      <w:r>
        <w:t xml:space="preserve"> </w:t>
      </w:r>
      <w:r>
        <w:t xml:space="preserve">hacia la categoría contigua de</w:t>
      </w:r>
      <w:r>
        <w:t xml:space="preserve"> </w:t>
      </w:r>
      <w:r>
        <w:t xml:space="preserve">“</w:t>
      </w:r>
      <w:r>
        <w:t xml:space="preserve">poca confianza</w:t>
      </w:r>
      <w:r>
        <w:t xml:space="preserve">”</w:t>
      </w:r>
      <w:r>
        <w:t xml:space="preserve">, lo que explica la importante variación entre el 2019 y el 2020, que podría deberse al estallido. Como era de esperarse, los cambios son nuevamente hacia categorías contiguas, con muy poco traspaso entre extremos.</w:t>
      </w:r>
    </w:p>
    <w:p>
      <w:pPr>
        <w:pStyle w:val="Textoindependiente"/>
      </w:pPr>
      <w:r>
        <w:t xml:space="preserve">**Nota: podría valer la pena pasar a 3 categorías en vez de 5.</w:t>
      </w:r>
    </w:p>
    <w:p>
      <w:pPr>
        <w:pStyle w:val="Ttulo2"/>
      </w:pPr>
      <w:bookmarkStart w:id="85" w:name="orientación-hacia-el-bien-común-1"/>
      <w:r>
        <w:t xml:space="preserve">2.3	Orientación hacia el bien común</w:t>
      </w:r>
      <w:bookmarkEnd w:id="85"/>
    </w:p>
    <w:p>
      <w:pPr>
        <w:pStyle w:val="Ttulo3"/>
      </w:pPr>
      <w:bookmarkStart w:id="86" w:name="solidaridad"/>
      <w:r>
        <w:t xml:space="preserve">2.3.1	Solidaridad</w:t>
      </w:r>
      <w:bookmarkEnd w:id="86"/>
    </w:p>
    <w:p>
      <w:pPr>
        <w:pStyle w:val="FirstParagraph"/>
      </w:pPr>
      <w:r>
        <w:t xml:space="preserve">Indicadores (4):</w:t>
      </w:r>
      <w:r>
        <w:t xml:space="preserve"> </w:t>
      </w:r>
      <w:r>
        <w:t xml:space="preserve">- Ha donado dinero a una obra social o de caridad</w:t>
      </w:r>
      <w:r>
        <w:t xml:space="preserve"> </w:t>
      </w:r>
      <w:r>
        <w:t xml:space="preserve">- Ha prestado una suma de dinero de $10.000.- o mas</w:t>
      </w:r>
      <w:r>
        <w:t xml:space="preserve"> </w:t>
      </w:r>
      <w:r>
        <w:t xml:space="preserve">- Ha conversado con una persona en problemas o deprimida</w:t>
      </w:r>
      <w:r>
        <w:t xml:space="preserve"> </w:t>
      </w:r>
      <w:r>
        <w:t xml:space="preserve">- Ha ayudado a alguien a conseguir trabajo</w:t>
      </w:r>
    </w:p>
    <w:p>
      <w:pPr>
        <w:pStyle w:val="CaptionedFigure"/>
      </w:pPr>
      <w:r>
        <w:drawing>
          <wp:inline>
            <wp:extent cx="5600700" cy="2913075"/>
            <wp:effectExtent b="0" l="0" r="0" t="0"/>
            <wp:docPr descr="Figura 2.5: Cambios en la subdimensión solidaridad." title="" id="1" name="Picture"/>
            <a:graphic>
              <a:graphicData uri="http://schemas.openxmlformats.org/drawingml/2006/picture">
                <pic:pic>
                  <pic:nvPicPr>
                    <pic:cNvPr descr="output/graphs/alluvial_solidaridad.svg" id="0" name="Picture"/>
                    <pic:cNvPicPr>
                      <a:picLocks noChangeArrowheads="1" noChangeAspect="1"/>
                    </pic:cNvPicPr>
                  </pic:nvPicPr>
                  <pic:blipFill>
                    <a:blip r:embed="rId87"/>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2.5: Cambios en la subdimensión solidaridad.</w:t>
      </w:r>
    </w:p>
    <w:p>
      <w:pPr>
        <w:pStyle w:val="Textoindependiente"/>
      </w:pPr>
      <w:r>
        <w:t xml:space="preserve">En general, en este indicador que busca dar cuenta de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Casi no presentan variaciones en su tamaño general a lo largo del período. El estallido no significa un aumento para la ola 2020.</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8" w:name="participación-cívica"/>
      <w:r>
        <w:t xml:space="preserve">2.3.2	Participación cívica</w:t>
      </w:r>
      <w:bookmarkEnd w:id="88"/>
    </w:p>
    <w:p>
      <w:pPr>
        <w:pStyle w:val="FirstParagraph"/>
      </w:pPr>
      <w:r>
        <w:t xml:space="preserve">Indicadores (4):</w:t>
      </w:r>
      <w:r>
        <w:t xml:space="preserve"> </w:t>
      </w:r>
      <w:r>
        <w:t xml:space="preserve">- Firmado una carta o petición apoyando una causa</w:t>
      </w:r>
      <w:r>
        <w:t xml:space="preserve"> </w:t>
      </w:r>
      <w:r>
        <w:t xml:space="preserve">- Asistido a una marcha o manifestación pacifica</w:t>
      </w:r>
      <w:r>
        <w:t xml:space="preserve"> </w:t>
      </w:r>
      <w:r>
        <w:t xml:space="preserve">- Participado en una huelga</w:t>
      </w:r>
      <w:r>
        <w:t xml:space="preserve"> </w:t>
      </w:r>
      <w:r>
        <w:t xml:space="preserve">- Usado las redes sociales para expresar su opinión en temas públicos</w:t>
      </w:r>
    </w:p>
    <w:p>
      <w:pPr>
        <w:pStyle w:val="CaptionedFigure"/>
      </w:pPr>
      <w:r>
        <w:drawing>
          <wp:inline>
            <wp:extent cx="5600700" cy="2913075"/>
            <wp:effectExtent b="0" l="0" r="0" t="0"/>
            <wp:docPr descr="Figura 2.6: Cambios en la subdimensión participacion civica." title="" id="1" name="Picture"/>
            <a:graphic>
              <a:graphicData uri="http://schemas.openxmlformats.org/drawingml/2006/picture">
                <pic:pic>
                  <pic:nvPicPr>
                    <pic:cNvPr descr="output/graphs/alluvial_participacion.svg" id="0" name="Picture"/>
                    <pic:cNvPicPr>
                      <a:picLocks noChangeArrowheads="1" noChangeAspect="1"/>
                    </pic:cNvPicPr>
                  </pic:nvPicPr>
                  <pic:blipFill>
                    <a:blip r:embed="rId89"/>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2.6: Cambios en la subdimensión participacion civica.</w:t>
      </w:r>
    </w:p>
    <w:p>
      <w:pPr>
        <w:pStyle w:val="Textoindependiente"/>
      </w:pPr>
      <w:r>
        <w:t xml:space="preserve">En general, en cuanto a la participación cívica (asistir a marchas, participar en huelgas, expresar opiniones por redes sociales y firmar una carta o petición), la mayorá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algo lago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la participación cívica es muy baja y no varía particularmente entre olas.</w:t>
      </w:r>
    </w:p>
    <w:p>
      <w:pPr>
        <w:pStyle w:val="Ttulo2"/>
      </w:pPr>
      <w:bookmarkStart w:id="90" w:name="cohesion-territorial"/>
      <w:r>
        <w:t xml:space="preserve">2.4	Cohesion territorial</w:t>
      </w:r>
      <w:bookmarkEnd w:id="90"/>
    </w:p>
    <w:p>
      <w:pPr>
        <w:pStyle w:val="FirstParagraph"/>
      </w:pPr>
      <w:r>
        <w:t xml:space="preserve">Indicadores (4):</w:t>
      </w:r>
      <w:r>
        <w:t xml:space="preserve"> </w:t>
      </w:r>
      <w:r>
        <w:t xml:space="preserve">- Este barrio es ideal para mi</w:t>
      </w:r>
      <w:r>
        <w:t xml:space="preserve"> </w:t>
      </w:r>
      <w:r>
        <w:t xml:space="preserve">- Me siento integrado/a en este barrio</w:t>
      </w:r>
      <w:r>
        <w:t xml:space="preserve"> </w:t>
      </w:r>
      <w:r>
        <w:t xml:space="preserve">- Me identifico con la gente de este barrio</w:t>
      </w:r>
      <w:r>
        <w:t xml:space="preserve"> </w:t>
      </w:r>
      <w:r>
        <w:t xml:space="preserve">- Este barrio es parte de mi</w:t>
      </w:r>
    </w:p>
    <w:p>
      <w:pPr>
        <w:pStyle w:val="CaptionedFigure"/>
      </w:pPr>
      <w:r>
        <w:drawing>
          <wp:inline>
            <wp:extent cx="5600700" cy="2913075"/>
            <wp:effectExtent b="0" l="0" r="0" t="0"/>
            <wp:docPr descr="Figura 2.7: Cambios en la subdimensión cohesion territorial." title="" id="1" name="Picture"/>
            <a:graphic>
              <a:graphicData uri="http://schemas.openxmlformats.org/drawingml/2006/picture">
                <pic:pic>
                  <pic:nvPicPr>
                    <pic:cNvPr descr="output/graphs/alluvial_cohesion_territorial.svg" id="0" name="Picture"/>
                    <pic:cNvPicPr>
                      <a:picLocks noChangeArrowheads="1" noChangeAspect="1"/>
                    </pic:cNvPicPr>
                  </pic:nvPicPr>
                  <pic:blipFill>
                    <a:blip r:embed="rId91"/>
                    <a:stretch>
                      <a:fillRect/>
                    </a:stretch>
                  </pic:blipFill>
                  <pic:spPr bwMode="auto">
                    <a:xfrm>
                      <a:off x="0" y="0"/>
                      <a:ext cx="5600700" cy="2913075"/>
                    </a:xfrm>
                    <a:prstGeom prst="rect">
                      <a:avLst/>
                    </a:prstGeom>
                    <a:noFill/>
                    <a:ln w="9525">
                      <a:noFill/>
                      <a:headEnd/>
                      <a:tailEnd/>
                    </a:ln>
                  </pic:spPr>
                </pic:pic>
              </a:graphicData>
            </a:graphic>
          </wp:inline>
        </w:drawing>
      </w:r>
    </w:p>
    <w:p>
      <w:pPr>
        <w:pStyle w:val="ImageCaption"/>
      </w:pPr>
      <w:r>
        <w:t xml:space="preserve">Figura 2.7: Cambios en la subdimensión cohesion territorial.</w:t>
      </w:r>
    </w:p>
    <w:p>
      <w:pPr>
        <w:pStyle w:val="Textoindependiente"/>
      </w:pPr>
      <w:r>
        <w:t xml:space="preserve">En general, 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solo un 11,5%.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Las demás categorías son más inestables e indican un mayor cambio de percepción entre olas.</w:t>
      </w:r>
    </w:p>
    <w:p>
      <w:pPr>
        <w:pStyle w:val="Textoindependiente"/>
      </w:pPr>
      <w:r>
        <w:t xml:space="preserve">En resumen, también se trata de un indicador muy estable en el tiempo, aunque no se cuente con datos del 2020.</w:t>
      </w:r>
    </w:p>
    <w:p>
      <w:pPr>
        <w:pStyle w:val="Textoindependiente"/>
      </w:pPr>
      <w:r>
        <w:t xml:space="preserve">**Nota: podría valer la pena pasar a 3 categorías en vez de 5.</w:t>
      </w:r>
    </w:p>
    <w:p>
      <w:pPr>
        <w:pStyle w:val="Ttulo1"/>
      </w:pPr>
      <w:bookmarkStart w:id="92" w:name="X0ff626d43a9e0f9ede0fc0478f4e11a105dce19"/>
      <w:r>
        <w:t xml:space="preserve">3	Capítulo III. Habilitadores e inhibidores de la cohesión social</w:t>
      </w:r>
      <w:bookmarkEnd w:id="92"/>
    </w:p>
    <w:p>
      <w:pPr>
        <w:pStyle w:val="FirstParagraph"/>
      </w:pPr>
      <w:r>
        <w:t xml:space="preserve">Cepal comprende la cohesión social como</w:t>
      </w:r>
      <w:r>
        <w:t xml:space="preserve"> </w:t>
      </w:r>
      <w:r>
        <w:t xml:space="preserve">“</w:t>
      </w:r>
      <w:r>
        <w:t xml:space="preserve">la capacidad de una sociedad y sus instituciones democráticas de promover relaciones sociales de igualdad y generar un sentido de pertenencia y una orientación hacia el bien común de una forma percibida como legítima por sus miembros</w:t>
      </w:r>
      <w:r>
        <w:t xml:space="preserve">”</w:t>
      </w:r>
      <w:r>
        <w:t xml:space="preserve">. Esta definición se inscribe entre las definiciones mixtas o multidimensionales de cohesión, resaltando la igualdad en las relaciones sociales, el sentido de pertenencia, la orientación hacia el bien común y la legitimidad democrática. La definición no solamente describe un proceso, sino que incorpora un elemento normativo destinado a orientar las políticas públicas, consistente con el marco establecido por la Agenda 2030.</w:t>
      </w:r>
    </w:p>
    <w:p>
      <w:pPr>
        <w:pStyle w:val="Textoindependiente"/>
      </w:pPr>
      <w:r>
        <w:t xml:space="preserve">Al definir cohesión social, Cepal discute su vinculación con diversos términos que se encuentran en su vecindario semántico, con el fin de establecer la particularidad de la cohesión. En la discusión sobre inclusión, vale decir la participación social y la mejoría en las condiciones de vida, se establece que este aspecto debiera considerarse más como una condición de la cohesión social que un aspecto de ésta. Baja inclusión probablemente dificulta el logro de la cohesión social, pero tampoco niveles crecientes de inclusión garantizan que se logre cohesión social.</w:t>
      </w:r>
    </w:p>
    <w:p>
      <w:pPr>
        <w:pStyle w:val="Textoindependiente"/>
      </w:pPr>
      <w:r>
        <w:t xml:space="preserve">En un sentido más general, la discusión sobre las relaciones entre la inclusión social y la cohesión pueden presentarse como elementos habilitadores de la cohesión social; esto es, condiciones necesarias, pero no suficientes para su logro. De esta forma, los mecanismos habilitadores son aspectos estructurales de la sociedad y sus instituciones que favorecen las relaciones de igualdad, sentido de pertenencia y orientación al bien común. Los elementos habilitadores deben contribuir, por tanto, a la reducción de las brechas de bienestar y a fortalecer la institucionalidad. Específicamente, los elementos habilitadores se refieren a: garantías de bienestar univeral, cultura de la igualdad, reconocimiento, participación, resolución de conflictos, estado de derecho y calidad de la democracia (Cepal).</w:t>
      </w:r>
    </w:p>
    <w:p>
      <w:pPr>
        <w:pStyle w:val="Textoindependiente"/>
      </w:pPr>
      <w:r>
        <w:t xml:space="preserve">Este capítulo busca establecer de qué forma y en qué medida los elementos habilitadores inciden en los niveles de cohesión social. En el esquema de Cepal (fc:94) la cohesión social y sus habilitadores de se refieren a elementos estructurales que caracterizan un país. Ahora bien, puede suponerse que dentro de un país puedan coexistir distintos niveles de cohesión, lo cual podría eventualmente afectar la cohesión global, especialmente si la menor cohesión se encuentra asociada con agregados bien delimitadas como territorios o grupos sociales. Puede hipotetizarse que la cohesión social no es homogénea dentro de un país. Su diversidad guarda relación los distintos niveles de inclusión e integración de individuos o territorios que, en caso que sigan una pauta, irían más allá del error aleatorio que acompaña toda medición.</w:t>
      </w:r>
    </w:p>
    <w:p>
      <w:pPr>
        <w:pStyle w:val="Textoindependiente"/>
      </w:pPr>
      <w:r>
        <w:t xml:space="preserve">En el análisis de los mecanismos habilitadores de la cohesión social se pone atención a las diferencias en los niveles de cohesión para asociarlos con elementos explicativos que corresponden a rasgos estructurales. Los rasgos estructurales se analizan como niveles de acceso individual a recursos disponibles en teoría para todos por igual. Puede hipotetizarse, por ejemplo, que el empleo informal, que es una característica de la inclusión laboral dentro de las garantías de bienestar, haría variar los niveles de cohesión. De esta forma, el capítulo ofrece un tratamiento de los elementos habilitadores reflejados en el acceso individual a estos mecanismos. Los mecanismos habilitadores están concentrados en las garantías de bienestar, dadas las características de los datos disponibles.</w:t>
      </w:r>
    </w:p>
    <w:p>
      <w:pPr>
        <w:pStyle w:val="Ttulo2"/>
      </w:pPr>
      <w:bookmarkStart w:id="93" w:name="acceso-a-garantías-de-bienestar"/>
      <w:r>
        <w:t xml:space="preserve">3.1	Acceso a Garantías de Bienestar</w:t>
      </w:r>
      <w:bookmarkEnd w:id="93"/>
    </w:p>
    <w:p>
      <w:pPr>
        <w:pStyle w:val="Compact"/>
        <w:numPr>
          <w:numId w:val="1012"/>
          <w:ilvl w:val="0"/>
        </w:numPr>
      </w:pP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Compact"/>
        <w:numPr>
          <w:numId w:val="1013"/>
          <w:ilvl w:val="0"/>
        </w:numPr>
      </w:pPr>
      <w:r>
        <w:t xml:space="preserve">Inclusión social</w:t>
      </w:r>
    </w:p>
    <w:p>
      <w:pPr>
        <w:pStyle w:val="FirstParagraph"/>
      </w:pPr>
      <w:r>
        <w:t xml:space="preserve">Hay diversas dimensiones en las brechas de participación en las condiciones de vida que una sociedad ofrece a sus integrantes.</w:t>
      </w:r>
    </w:p>
    <w:p>
      <w:pPr>
        <w:numPr>
          <w:numId w:val="1014"/>
          <w:ilvl w:val="0"/>
        </w:numPr>
      </w:pPr>
      <w:r>
        <w:t xml:space="preserve">La etapa de transición demográfica en que se encuentra Chile muestra un peso creciente de los adultos mayores, quienes enfrentan condiciones de vida difíciles, por lo que se podría esperar menores niveles de cohesión social entre ellos.</w:t>
      </w:r>
    </w:p>
    <w:p>
      <w:pPr>
        <w:numPr>
          <w:numId w:val="1014"/>
          <w:ilvl w:val="0"/>
        </w:numPr>
      </w:pPr>
      <w:r>
        <w:t xml:space="preserve">El sexo de las personas afecta sus posibilidades de inclusión atendiendo a las pautas de roles asociadas con una sociedad patriarcal.</w:t>
      </w:r>
    </w:p>
    <w:p>
      <w:pPr>
        <w:numPr>
          <w:numId w:val="1014"/>
          <w:ilvl w:val="0"/>
        </w:numPr>
      </w:pPr>
      <w:r>
        <w:t xml:space="preserve">El acceso a la educación 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numPr>
          <w:numId w:val="1014"/>
          <w:ilvl w:val="0"/>
        </w:numPr>
      </w:pPr>
      <w:r>
        <w:t xml:space="preserve">Los ingresos 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numPr>
          <w:numId w:val="1014"/>
          <w:ilvl w:val="0"/>
        </w:numPr>
      </w:pPr>
      <w:r>
        <w:t xml:space="preserve">La segregación territorial,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14"/>
          <w:ilvl w:val="0"/>
        </w:numPr>
      </w:pPr>
      <w:r>
        <w:t xml:space="preserve">El concepto de aislamiento social de los territorios 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numPr>
          <w:numId w:val="1014"/>
          <w:ilvl w:val="0"/>
        </w:numPr>
      </w:pPr>
      <w:r>
        <w:t xml:space="preserve">La pertenencia a pueblos indígenas 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 Vinculado con lo anterior, en la última década la condición étnica ha sido progresivamente asociada con la condición de los migrantes.</w:t>
      </w:r>
    </w:p>
    <w:p>
      <w:pPr>
        <w:pStyle w:val="Ttulo3"/>
      </w:pPr>
      <w:bookmarkStart w:id="94" w:name="para-discutir"/>
      <w:r>
        <w:t xml:space="preserve">3.1.1	PARA DISCUTIR</w:t>
      </w:r>
      <w:bookmarkEnd w:id="94"/>
    </w:p>
    <w:p>
      <w:pPr>
        <w:pStyle w:val="Compact"/>
        <w:numPr>
          <w:numId w:val="1015"/>
          <w:ilvl w:val="0"/>
        </w:numPr>
      </w:pPr>
      <w:r>
        <w:t xml:space="preserve">Participación y resolución de conflictos</w:t>
      </w:r>
    </w:p>
    <w:p>
      <w:pPr>
        <w:pStyle w:val="Compact"/>
        <w:numPr>
          <w:numId w:val="1016"/>
          <w:ilvl w:val="1"/>
        </w:numPr>
      </w:pPr>
      <w:r>
        <w:t xml:space="preserve">Araucanía v. resto del país?</w:t>
      </w:r>
    </w:p>
    <w:p>
      <w:pPr>
        <w:pStyle w:val="Compact"/>
        <w:numPr>
          <w:numId w:val="1016"/>
          <w:ilvl w:val="1"/>
        </w:numPr>
      </w:pPr>
      <w:r>
        <w:t xml:space="preserve">Votación? actividad política</w:t>
      </w:r>
    </w:p>
    <w:p>
      <w:pPr>
        <w:pStyle w:val="Compact"/>
        <w:numPr>
          <w:numId w:val="1015"/>
          <w:ilvl w:val="0"/>
        </w:numPr>
      </w:pPr>
      <w:r>
        <w:t xml:space="preserve">Estado de derecho y calidad de la democracia</w:t>
      </w:r>
    </w:p>
    <w:p>
      <w:pPr>
        <w:pStyle w:val="Compact"/>
        <w:numPr>
          <w:numId w:val="1017"/>
          <w:ilvl w:val="1"/>
        </w:numPr>
      </w:pPr>
      <w:r>
        <w:t xml:space="preserve">Confianza en las instituciones?</w:t>
      </w:r>
    </w:p>
    <w:p>
      <w:pPr>
        <w:pStyle w:val="Ttulo2"/>
      </w:pPr>
      <w:bookmarkStart w:id="95" w:name="Xe18e960b0cfdeaf386134e6e65ad5066412441c"/>
      <w:r>
        <w:t xml:space="preserve">3.2	Esquema para el análisis de los habilitadores de la cohesión social</w:t>
      </w:r>
      <w:bookmarkEnd w:id="95"/>
    </w:p>
    <w:p>
      <w:pPr>
        <w:pStyle w:val="FirstParagraph"/>
      </w:pPr>
      <w:r>
        <w:t xml:space="preserve">Los procesos que producen cohesión social están lejos de responder a modelos sencillos y requieren análisis detallados. En este capítulo presentamos de forma descriptiva modelos sencillos destinados a comparar los efectos marginales de los factores que se hipotetiza están asociado con la cohesión social. El análisis busca establecer el efecto neto de los factores habilitadores sobre cada una de las 9 subdimensiones de la cohesión social caracterizadas en el primer capítulo. La medida de cohesión social corresponde al puntaje factorial obtenido a partir de los modelos estimados en el primer capítulo. Los factores explicativos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p>
      <w:pPr>
        <w:pStyle w:val="Ttulo3"/>
      </w:pPr>
      <w:bookmarkStart w:id="96" w:name="Xaa286626266e43118a95a424b9dd8f90ea9db56"/>
      <w:r>
        <w:t xml:space="preserve">3.2.1	Faltarían varios: particularmente sector informal</w:t>
      </w:r>
      <w:bookmarkEnd w:id="96"/>
    </w:p>
    <w:p>
      <w:pPr>
        <w:pStyle w:val="Compact"/>
        <w:numPr>
          <w:numId w:val="1018"/>
          <w:ilvl w:val="0"/>
        </w:numPr>
      </w:pPr>
      <w:r>
        <w:t xml:space="preserve">La edad está medida en años</w:t>
      </w:r>
    </w:p>
    <w:p>
      <w:pPr>
        <w:pStyle w:val="Compact"/>
        <w:numPr>
          <w:numId w:val="1018"/>
          <w:ilvl w:val="0"/>
        </w:numPr>
      </w:pPr>
      <w:r>
        <w:t xml:space="preserve">La educación en 4 grupos: Básica, media, técnica y universitaria #probar años u otra clasificación#</w:t>
      </w:r>
    </w:p>
    <w:p>
      <w:pPr>
        <w:pStyle w:val="Compact"/>
        <w:numPr>
          <w:numId w:val="1018"/>
          <w:ilvl w:val="0"/>
        </w:numPr>
      </w:pPr>
      <w:r>
        <w:t xml:space="preserve">Los niveles de ingreso están medidos en quintiles #no incluir los que no lo reportan. #</w:t>
      </w:r>
    </w:p>
    <w:p>
      <w:pPr>
        <w:pStyle w:val="Compact"/>
        <w:numPr>
          <w:numId w:val="1018"/>
          <w:ilvl w:val="0"/>
        </w:numPr>
      </w:pPr>
      <w:r>
        <w:t xml:space="preserve">Poseer otra nacionalidad</w:t>
      </w:r>
    </w:p>
    <w:p>
      <w:pPr>
        <w:pStyle w:val="Compact"/>
        <w:numPr>
          <w:numId w:val="1018"/>
          <w:ilvl w:val="0"/>
        </w:numPr>
      </w:pPr>
      <w:r>
        <w:t xml:space="preserve">Pertenencia a pueblo indígena</w:t>
      </w:r>
    </w:p>
    <w:p>
      <w:pPr>
        <w:pStyle w:val="Compact"/>
        <w:numPr>
          <w:numId w:val="1018"/>
          <w:ilvl w:val="0"/>
        </w:numPr>
      </w:pPr>
      <w:r>
        <w:t xml:space="preserve">Aislamiento territorial:</w:t>
      </w:r>
    </w:p>
    <w:p>
      <w:pPr>
        <w:numPr>
          <w:numId w:val="1019"/>
          <w:ilvl w:val="1"/>
        </w:numPr>
      </w:pPr>
      <w:r>
        <w:t xml:space="preserve">Promedio años escolaridad de sostenedores en 1 km a la redonda #preferir desv estándar#</w:t>
      </w:r>
    </w:p>
    <w:p>
      <w:pPr>
        <w:numPr>
          <w:numId w:val="1019"/>
          <w:ilvl w:val="1"/>
        </w:numPr>
      </w:pPr>
      <w:r>
        <w:t xml:space="preserve">Número de trabajadores/as (ocupados??) en 1 km a la redonda #usar también inactivos#</w:t>
      </w:r>
    </w:p>
    <w:p>
      <w:pPr>
        <w:numPr>
          <w:numId w:val="1019"/>
          <w:ilvl w:val="1"/>
        </w:numPr>
      </w:pPr>
      <w:r>
        <w:t xml:space="preserve">Número de cesantes en 1 km a la redonda</w:t>
      </w:r>
    </w:p>
    <w:p>
      <w:pPr>
        <w:numPr>
          <w:numId w:val="1019"/>
          <w:ilvl w:val="1"/>
        </w:numPr>
      </w:pPr>
      <w:r>
        <w:t xml:space="preserve">Acceso areas verdes en radio de 15 min a pie #aclarar definición# ¿media de la ciudad?</w:t>
      </w:r>
    </w:p>
    <w:p>
      <w:pPr>
        <w:numPr>
          <w:numId w:val="1019"/>
          <w:ilvl w:val="1"/>
        </w:numPr>
      </w:pPr>
      <w:r>
        <w:t xml:space="preserve">Acceso a colegios en radio de 15 min a pie #aclarar definición# ¿media de la ciudad?</w:t>
      </w:r>
    </w:p>
    <w:p>
      <w:pPr>
        <w:numPr>
          <w:numId w:val="1019"/>
          <w:ilvl w:val="1"/>
        </w:numPr>
      </w:pPr>
      <w:r>
        <w:t xml:space="preserve">Acceso a servicios en radio de 15 min a pie #aclarar definición# ¿media de la ciudad?</w:t>
      </w:r>
    </w:p>
    <w:p>
      <w:pPr>
        <w:pStyle w:val="Ttulo3"/>
        <w:numPr>
          <w:numId w:val="1000"/>
          <w:ilvl w:val="1"/>
        </w:numPr>
      </w:pPr>
      <w:bookmarkStart w:id="97" w:name="faltan"/>
      <w:r>
        <w:t xml:space="preserve">0.0.1	FALTAN</w:t>
      </w:r>
      <w:bookmarkEnd w:id="97"/>
    </w:p>
    <w:p>
      <w:pPr>
        <w:pStyle w:val="Compact"/>
        <w:numPr>
          <w:numId w:val="1018"/>
          <w:ilvl w:val="0"/>
        </w:numPr>
      </w:pPr>
      <w:r>
        <w:t xml:space="preserve">Viviendas en condición de hacinamiento</w:t>
      </w:r>
    </w:p>
    <w:p>
      <w:pPr>
        <w:pStyle w:val="Compact"/>
        <w:numPr>
          <w:numId w:val="1018"/>
          <w:ilvl w:val="0"/>
        </w:numPr>
      </w:pPr>
      <w:r>
        <w:t xml:space="preserve">Conectividad</w:t>
      </w:r>
    </w:p>
    <w:p>
      <w:pPr>
        <w:pStyle w:val="Ttulo2"/>
      </w:pPr>
      <w:bookmarkStart w:id="98" w:name="X2d81b8f1fd802f2890417c49fa024c506bd1c45"/>
      <w:r>
        <w:t xml:space="preserve">3.3	Efecto de las comunas #hacer también por región y Santiago v. resto</w:t>
      </w:r>
      <w:bookmarkEnd w:id="98"/>
    </w:p>
    <w:p>
      <w:pPr>
        <w:pStyle w:val="Ttulo3"/>
      </w:pPr>
      <w:bookmarkStart w:id="99" w:name="X8cf77e76ad750eeffe56035ee8aa8cce45dbd27"/>
      <w:r>
        <w:t xml:space="preserve">3.3.1	presentar tabla con ICC para cada subdimensión</w:t>
      </w:r>
      <w:bookmarkEnd w:id="99"/>
    </w:p>
    <w:p>
      <w:pPr>
        <w:pStyle w:val="Ttulo2"/>
      </w:pPr>
      <w:bookmarkStart w:id="100" w:name="Xc8df4704c27864b6bf2683885cb4c3a8f6b35f5"/>
      <w:r>
        <w:t xml:space="preserve">3.4	Habilitadores de la disponiblidad de lazos sociales</w:t>
      </w:r>
      <w:bookmarkEnd w:id="100"/>
    </w:p>
    <w:p>
      <w:pPr>
        <w:pStyle w:val="FirstParagraph"/>
      </w:pPr>
      <w:r>
        <w:t xml:space="preserve">&lt;</w:t>
      </w:r>
      <w:r>
        <w:t xml:space="preserve">&gt;</w:t>
      </w:r>
    </w:p>
    <w:p>
      <w:pPr>
        <w:pStyle w:val="Ttulo2"/>
      </w:pPr>
      <w:bookmarkStart w:id="101" w:name="Xc24cab234ccc7ff55ca546857e17e13f133ade3"/>
      <w:r>
        <w:t xml:space="preserve">3.5	Habilitadores de la confianza interpersonal</w:t>
      </w:r>
      <w:bookmarkEnd w:id="101"/>
    </w:p>
    <w:p>
      <w:pPr>
        <w:pStyle w:val="FirstParagraph"/>
      </w:pPr>
      <w:r>
        <w:t xml:space="preserve">&lt;</w:t>
      </w:r>
      <w:r>
        <w:t xml:space="preserve">&gt;</w:t>
      </w:r>
    </w:p>
    <w:p>
      <w:pPr>
        <w:pStyle w:val="Ttulo2"/>
      </w:pPr>
      <w:bookmarkStart w:id="102" w:name="Xd2ca4fdcc0dbce7f0b76211b25769733cc524ff"/>
      <w:r>
        <w:t xml:space="preserve">3.6	Habilitadores de confianza en minorías visibles</w:t>
      </w:r>
      <w:bookmarkEnd w:id="102"/>
    </w:p>
    <w:p>
      <w:pPr>
        <w:pStyle w:val="Ttulo3"/>
      </w:pPr>
      <w:bookmarkStart w:id="103" w:name="Xdc3b575faacaee6495ca885c79db09f60cfae53"/>
      <w:r>
        <w:t xml:space="preserve">3.6.1	Falta aclarar lo que se mide aquí y porqué se hace para todos. Creo que se deben seleccionar los grupos</w:t>
      </w:r>
      <w:bookmarkEnd w:id="103"/>
    </w:p>
    <w:p>
      <w:pPr>
        <w:pStyle w:val="FirstParagraph"/>
      </w:pPr>
      <w:r>
        <w:t xml:space="preserve">&lt;</w:t>
      </w:r>
      <w:r>
        <w:t xml:space="preserve">&gt;</w:t>
      </w:r>
    </w:p>
    <w:p>
      <w:pPr>
        <w:pStyle w:val="Ttulo2"/>
      </w:pPr>
      <w:bookmarkStart w:id="104" w:name="Xd8969d8f26b1eef6c9ff53ba8970d9528f9153d"/>
      <w:r>
        <w:t xml:space="preserve">3.7	Habilitadores de la identificación con el país</w:t>
      </w:r>
      <w:bookmarkEnd w:id="104"/>
    </w:p>
    <w:p>
      <w:pPr>
        <w:pStyle w:val="FirstParagraph"/>
      </w:pPr>
      <w:r>
        <w:t xml:space="preserve">&lt;</w:t>
      </w:r>
      <w:r>
        <w:t xml:space="preserve">&gt;</w:t>
      </w:r>
    </w:p>
    <w:p>
      <w:pPr>
        <w:pStyle w:val="Ttulo2"/>
      </w:pPr>
      <w:bookmarkStart w:id="105" w:name="X164fc4bbb99bb6ae9adec79979c05ceb4aeba49"/>
      <w:r>
        <w:t xml:space="preserve">3.8	Habilitadores de la percepción de justicia</w:t>
      </w:r>
      <w:bookmarkEnd w:id="105"/>
    </w:p>
    <w:p>
      <w:pPr>
        <w:pStyle w:val="FirstParagraph"/>
      </w:pPr>
      <w:r>
        <w:t xml:space="preserve">&lt;</w:t>
      </w:r>
      <w:r>
        <w:t xml:space="preserve">&gt;</w:t>
      </w:r>
    </w:p>
    <w:p>
      <w:pPr>
        <w:pStyle w:val="Ttulo2"/>
      </w:pPr>
      <w:bookmarkStart w:id="106" w:name="X59c98b7f89ae72636832833e3d885fa13da7d04"/>
      <w:r>
        <w:t xml:space="preserve">3.9	Habilitadores de la confianza institucional</w:t>
      </w:r>
      <w:bookmarkEnd w:id="106"/>
    </w:p>
    <w:p>
      <w:pPr>
        <w:pStyle w:val="FirstParagraph"/>
      </w:pPr>
      <w:r>
        <w:t xml:space="preserve">&lt;</w:t>
      </w:r>
      <w:r>
        <w:t xml:space="preserve">&gt;</w:t>
      </w:r>
    </w:p>
    <w:p>
      <w:pPr>
        <w:pStyle w:val="Ttulo2"/>
      </w:pPr>
      <w:bookmarkStart w:id="107" w:name="habilitadores-de-la-solidaridad"/>
      <w:r>
        <w:t xml:space="preserve">3.10	Habilitadores de la solidaridad</w:t>
      </w:r>
      <w:bookmarkEnd w:id="107"/>
    </w:p>
    <w:p>
      <w:pPr>
        <w:pStyle w:val="FirstParagraph"/>
      </w:pPr>
      <w:r>
        <w:t xml:space="preserve">&lt;</w:t>
      </w:r>
      <w:r>
        <w:t xml:space="preserve">&gt;</w:t>
      </w:r>
    </w:p>
    <w:p>
      <w:pPr>
        <w:pStyle w:val="Ttulo2"/>
      </w:pPr>
      <w:bookmarkStart w:id="108" w:name="habilitadores-de-la-participación-cívica"/>
      <w:r>
        <w:t xml:space="preserve">3.11	Habilitadores de la participación cívica</w:t>
      </w:r>
      <w:bookmarkEnd w:id="108"/>
    </w:p>
    <w:p>
      <w:pPr>
        <w:pStyle w:val="FirstParagraph"/>
      </w:pPr>
      <w:r>
        <w:t xml:space="preserve">&lt;</w:t>
      </w:r>
      <w:r>
        <w:t xml:space="preserve">&gt;</w:t>
      </w:r>
    </w:p>
    <w:p>
      <w:pPr>
        <w:pStyle w:val="Ttulo2"/>
      </w:pPr>
      <w:bookmarkStart w:id="109" w:name="habilitadores-de-la-cohesión-barrial"/>
      <w:r>
        <w:t xml:space="preserve">3.12	Habilitadores de la cohesión barrial</w:t>
      </w:r>
      <w:bookmarkEnd w:id="109"/>
    </w:p>
    <w:p>
      <w:pPr>
        <w:pStyle w:val="FirstParagraph"/>
      </w:pPr>
      <w:r>
        <w:t xml:space="preserve">&lt;</w:t>
      </w:r>
      <w:r>
        <w:t xml:space="preserve">&gt;</w:t>
      </w:r>
    </w:p>
    <w:p>
      <w:pPr>
        <w:pStyle w:val="Ttulo1"/>
      </w:pPr>
      <w:bookmarkStart w:id="110" w:name="bibliografía"/>
      <w:r>
        <w:t xml:space="preserve">Bibliografía</w:t>
      </w:r>
      <w:bookmarkEnd w:id="110"/>
    </w:p>
    <w:bookmarkStart w:id="116" w:name="refs"/>
    <w:bookmarkStart w:id="111"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11"/>
    <w:bookmarkStart w:id="112"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12"/>
    <w:bookmarkStart w:id="114"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13">
        <w:r>
          <w:rPr>
            <w:rStyle w:val="Hipervnculo"/>
          </w:rPr>
          <w:t xml:space="preserve">https://doi.org/10.1007/s11205-016-1314-5</w:t>
        </w:r>
      </w:hyperlink>
    </w:p>
    <w:bookmarkEnd w:id="114"/>
    <w:bookmarkStart w:id="115"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15"/>
    <w:bookmarkEnd w:id="116"/>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91" Target="media/rId91.svg" /><Relationship Type="http://schemas.openxmlformats.org/officeDocument/2006/relationships/image" Id="rId84" Target="media/rId84.svg" /><Relationship Type="http://schemas.openxmlformats.org/officeDocument/2006/relationships/image" Id="rId75" Target="media/rId75.svg" /><Relationship Type="http://schemas.openxmlformats.org/officeDocument/2006/relationships/image" Id="rId77" Target="media/rId77.svg" /><Relationship Type="http://schemas.openxmlformats.org/officeDocument/2006/relationships/image" Id="rId80" Target="media/rId80.svg" /><Relationship Type="http://schemas.openxmlformats.org/officeDocument/2006/relationships/image" Id="rId82" Target="media/rId82.svg" /><Relationship Type="http://schemas.openxmlformats.org/officeDocument/2006/relationships/image" Id="rId73" Target="media/rId73.svg" /><Relationship Type="http://schemas.openxmlformats.org/officeDocument/2006/relationships/image" Id="rId89" Target="media/rId89.svg" /><Relationship Type="http://schemas.openxmlformats.org/officeDocument/2006/relationships/image" Id="rId87" Target="media/rId87.sv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8" Target="media/rId6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9" Target="media/rId59.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39" Target="media/rId39.png" /><Relationship Type="http://schemas.openxmlformats.org/officeDocument/2006/relationships/image" Id="rId46" Target="media/rId46.png" /><Relationship Type="http://schemas.openxmlformats.org/officeDocument/2006/relationships/image" Id="rId57" Target="media/rId57.png" /><Relationship Type="http://schemas.openxmlformats.org/officeDocument/2006/relationships/image" Id="rId51" Target="media/rId51.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3" Target="https://doi.org/10.1007/s11205-016-1314-5"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3" Target="https://doi.org/10.1007/s11205-016-1314-5"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2021-09-24T14:11:55Z</dcterms:created>
  <dcterms:modified xsi:type="dcterms:W3CDTF">2021-09-24T14:11:55Z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2021-09-24</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